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6k.htm"/>
      <w:bookmarkStart w:id="1" w:name="ksveraxabiotechag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July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Strengthening of Patent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Veraxa Biotech AG (the “Company”) issued a press release announcing updates to its core patent portfolio.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490" w:type="dxa"/>
        <w:jc w:val="left"/>
        <w:tblInd w:w="0" w:type="dxa"/>
        <w:tblLayout w:type="fixed"/>
        <w:tblCellMar>
          <w:top w:w="0" w:type="dxa"/>
          <w:left w:w="0" w:type="dxa"/>
          <w:bottom w:w="28" w:type="dxa"/>
          <w:right w:w="0" w:type="dxa"/>
        </w:tblCellMar>
      </w:tblPr>
      <w:tblGrid>
        <w:gridCol w:w="665"/>
        <w:gridCol w:w="60"/>
        <w:gridCol w:w="276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shd w:fill="CCEEFF" w:val="clear"/>
            <w:tcMar>
              <w:bottom w:w="0" w:type="dxa"/>
            </w:tcMar>
            <w:vAlign w:val="center"/>
          </w:tcPr>
          <w:p>
            <w:pPr>
              <w:pStyle w:val="TableContents"/>
              <w:bidi w:val="0"/>
              <w:spacing w:before="0" w:after="283"/>
              <w:jc w:val="both"/>
              <w:rPr/>
            </w:pPr>
            <w:hyperlink w:anchor="veraxabiotechag_ex99-1.htm">
              <w:r>
                <w:rPr>
                  <w:rStyle w:val="InternetLink"/>
                  <w:rFonts w:ascii="Times New Roman;Times;Serif" w:hAnsi="Times New Roman;Times;Serif"/>
                  <w:b w:val="false"/>
                  <w:i w:val="false"/>
                  <w:caps w:val="false"/>
                  <w:smallCaps w:val="false"/>
                  <w:sz w:val="20"/>
                </w:rPr>
                <w:t>Press Release dated July 29,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895"/>
        <w:gridCol w:w="710"/>
        <w:gridCol w:w="1955"/>
      </w:tblGrid>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31, 2026</w:t>
            </w:r>
          </w:p>
        </w:tc>
        <w:tc>
          <w:tcPr>
            <w:tcW w:w="71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caps w:val="false"/>
                <w:smallCaps w:val="false"/>
                <w:sz w:val="20"/>
              </w:rPr>
            </w:pPr>
            <w:r>
              <w:rPr>
                <w:rFonts w:ascii="Times New Roman" w:hAnsi="Times New Roman"/>
                <w:b w:val="false"/>
                <w:i/>
                <w:caps w:val="false"/>
                <w:smallCaps w:val="false"/>
                <w:sz w:val="20"/>
              </w:rPr>
              <w:t>/s/ Christoph Antz</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 w:name="veraxabiotechag_ex99-1.htm"/>
      <w:bookmarkStart w:id="3" w:name="ksveraxabiotechag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Strengthens Patent Portfolio to Protect Core</w:t>
        <w:br/>
        <w:t>Technology Platforms and Product Candidates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120" w:right="120" w:hanging="0"/>
        <w:jc w:val="both"/>
        <w:rPr>
          <w:rFonts w:ascii="Times New Roman;Times;Serif" w:hAnsi="Times New Roman;Times;Serif"/>
          <w:b w:val="false"/>
          <w:i/>
          <w:caps w:val="false"/>
          <w:smallCaps w:val="false"/>
          <w:color w:val="424242"/>
          <w:sz w:val="20"/>
        </w:rPr>
      </w:pPr>
      <w:r>
        <w:rPr>
          <w:rFonts w:ascii="Times New Roman;Times;Serif" w:hAnsi="Times New Roman;Times;Serif"/>
          <w:b w:val="false"/>
          <w:i/>
          <w:caps w:val="false"/>
          <w:smallCaps w:val="false"/>
          <w:color w:val="424242"/>
          <w:sz w:val="20"/>
        </w:rPr>
        <w:t>First BiTAC</w:t>
      </w:r>
      <w:r>
        <w:rPr>
          <w:rFonts w:ascii="Times New Roman;Times;Serif" w:hAnsi="Times New Roman;Times;Serif"/>
          <w:b w:val="false"/>
          <w:i/>
          <w:caps w:val="false"/>
          <w:smallCaps w:val="false"/>
          <w:color w:val="424242"/>
          <w:position w:val="7"/>
          <w:sz w:val="16"/>
          <w:sz w:val="20"/>
        </w:rPr>
        <w:t>®</w:t>
      </w:r>
      <w:r>
        <w:rPr>
          <w:rFonts w:ascii="Times New Roman;Times;Serif" w:hAnsi="Times New Roman;Times;Serif"/>
          <w:b w:val="false"/>
          <w:i/>
          <w:caps w:val="false"/>
          <w:smallCaps w:val="false"/>
          <w:color w:val="424242"/>
          <w:sz w:val="20"/>
        </w:rPr>
        <w:t>-related patent applications filed in H1 2026 including patents covering composition of matter and proprietary payload platform, with additional patents secured in contributing technology areas including click chemistry and conjugation technology.</w:t>
      </w:r>
    </w:p>
    <w:p>
      <w:pPr>
        <w:pStyle w:val="TextBody"/>
        <w:bidi w:val="0"/>
        <w:spacing w:before="0" w:after="0"/>
        <w:ind w:left="120" w:right="120" w:hanging="0"/>
        <w:jc w:val="both"/>
        <w:rPr>
          <w:caps w:val="false"/>
          <w:smallCaps w:val="false"/>
          <w:color w:val="424242"/>
        </w:rPr>
      </w:pPr>
      <w:r>
        <w:rPr>
          <w:caps w:val="false"/>
          <w:smallCaps w:val="false"/>
          <w:color w:val="424242"/>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ZURICH, SWITZERLAND – July 29, 2026 -- </w:t>
      </w:r>
      <w:r>
        <w:rPr>
          <w:rFonts w:ascii="Times New Roman;Times;Serif" w:hAnsi="Times New Roman;Times;Serif"/>
          <w:b w:val="false"/>
          <w:i w:val="false"/>
          <w:caps w:val="false"/>
          <w:smallCaps w:val="false"/>
          <w:sz w:val="20"/>
          <w:u w:val="single"/>
        </w:rPr>
        <w:t>VERAXA Biotech</w:t>
      </w:r>
      <w:r>
        <w:rPr>
          <w:rFonts w:ascii="Times New Roman;Times;Serif" w:hAnsi="Times New Roman;Times;Serif"/>
          <w:b w:val="false"/>
          <w:i w:val="false"/>
          <w:caps w:val="false"/>
          <w:smallCaps w:val="false"/>
          <w:sz w:val="20"/>
        </w:rPr>
        <w:t xml:space="preserve"> AG (NASDAQ: VRXA; “VERAXA”), an emerging leader in designing novel cancer therapies, today provided an update on its core patent portfolio. During the first half of 2026, first patent applications were filed to cover the Company’s new generation of technologies including its T cell engager (BiTAC-TCE) and antibody-drug-conjugate (BiTAC-ADC) platforms and therapeutic programs derived from them. Additionally, previously granted patents covering auxiliary technology modules have now cleared the opposition period. Overall, VERAXA now has a portfolio of more than 50 granted owned or exclusively licensed patents in 14 countries, which are spread across 26 patent families. Once the recently filed patent applications are granted, they are expected to protect VERAXA’s core technology suite through at least 2047.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Patentable innovations are at the heart of any biotechnology company, and we are very pleased to provide an update on recent developments. Our IP strategy mirrors the breadth of novel concepts and innovations we are pursuing with regard to our BiTAC-TCE and BiTAC-ADC platforms, novel payload strategies, and the conjugation technologies and click chemistry enabling such therapies,” commented Christoph Antz, Ph.D., CEO and Co-Founder of VERAXA. “Overall, we are building toward a strong IP portfolio protecting our core technology platforms and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is reimagining key aspects of bispecific T cell engager (TCE) and antibody-drug-conjugate (ADC) biology through its BiTAC (Bi-targeted Tumor-Associated Cytotoxicity) strategy. This novel approach relies on a dual-component molecular architecture to enhance tumor selectivity and safety via a true “AND-gate” mechanism. For T cell engagers (BiTAC-TCEs), the platform uses two split antibody constructs. Each targets a distinct tumor-associated antigen and carries one half of the T cell binding motif. Only when both precursors bind to the same cancer cell do they form a functional molecule—a mechanism that restricts T cell activity to cells displaying both tumor markers, sparing healthy tissue. For antibody-drug conjugates (BiTAC-ADCs), the technology delivers a systemically inactive prodrug and a cell-impermeable proactivator through two separate antibodies, each targeting a defined tumor-associated antigen. The payload is only released inside the cancer cell through a rapid, highly efficient chemical reaction called ‘click-to-release’. VERAXA’s click chemistry leverages the ultra-fast reaction between trans-cyclooctenes (TCOs) and tetrazines—one of the fastest in nature. The reaction kinetics and other proprietary improvements enable VERAXA to avoid the premature payload release during systemic circulation, as seen with past ADC approaches, and unlock cost savings in BiTAC-ADC manufacturing. In addition, VERAXA applies proprietary conjugation, linker, and hydrophilic payload technologies across its BiTAC and non-BiTAC pipelines, further enhancing the safety, efficacy, and manufacturability of its next-generation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bispecific T cell engagers, bispecific ADCs and other innovative formats. Powered by a suite of transformative technologies and guided by rigorous quality-by-design principles, we are rapidly advancing our pipeline of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t>
      </w:r>
      <w:r>
        <w:rPr>
          <w:rFonts w:ascii="Times New Roman;Times;Serif" w:hAnsi="Times New Roman;Times;Serif"/>
          <w:b w:val="false"/>
          <w:i w:val="false"/>
          <w:caps w:val="false"/>
          <w:smallCaps w:val="false"/>
          <w:sz w:val="20"/>
          <w:u w:val="single"/>
        </w:rPr>
        <w:t>https://investors.veraxa.com/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as to the ability of the Company’s intellectual property rights to protect its therapeutic candidate portfolio and technology. Such forward-looking statements are based on current expectations and involve inherent risks and uncertainties, including factors that could delay, divert or change any of them, and could cause actual outcomes and results to differ materially from current expectations, including with respect to the company’s ability to file future patents, have patents accepted, granted, and subsequently upheld without opposition. Forward-looking statements contained on this press release should be evaluated together with the many uncertainties that affect the Company’s business, particularly those identified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t xml:space="preserve"> </w:t>
        <w:br/>
        <w:t>Christoph Antz, Ph.D.</w:t>
        <w:br/>
        <w:t>Chief Executive Officer, Co-Founder</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r>
      <w:r>
        <w:rPr>
          <w:rFonts w:ascii="Times New Roman;Times;Serif" w:hAnsi="Times New Roman;Times;Serif"/>
          <w:b w:val="false"/>
          <w:i w:val="false"/>
          <w:caps w:val="false"/>
          <w:smallCaps w:val="false"/>
          <w:sz w:val="20"/>
          <w:u w:val="single"/>
        </w:rPr>
        <w:t>VERAXA@icrhealthcare.com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t>Mario Brkulj</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1227</Words>
  <Characters>7232</Characters>
  <CharactersWithSpaces>8484</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