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_f1a.htm"/>
      <w:bookmarkStart w:id="1" w:name="ksveraxabiotech_f1a"/>
      <w:bookmarkEnd w:id="0"/>
      <w:bookmarkEnd w:id="1"/>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As filed with the U.S. Securities and Exchange Commission on August 5, 2026</w:t>
      </w:r>
    </w:p>
    <w:p>
      <w:pPr>
        <w:pStyle w:val="TextBody"/>
        <w:bidi w:val="0"/>
        <w:jc w:val="left"/>
        <w:rPr>
          <w:caps w:val="false"/>
          <w:smallCaps w:val="false"/>
        </w:rPr>
      </w:pPr>
      <w:r>
        <w:rPr>
          <w:caps w:val="false"/>
          <w:smallCaps w:val="false"/>
        </w:rPr>
        <w:t> </w:t>
      </w:r>
    </w:p>
    <w:p>
      <w:pPr>
        <w:pStyle w:val="TextBody"/>
        <w:bidi w:val="0"/>
        <w:jc w:val="right"/>
        <w:rPr>
          <w:rFonts w:ascii="Times New Roman" w:hAnsi="Times New Roman"/>
          <w:b/>
          <w:i w:val="false"/>
          <w:caps w:val="false"/>
          <w:smallCaps w:val="false"/>
          <w:sz w:val="20"/>
        </w:rPr>
      </w:pPr>
      <w:r>
        <w:rPr>
          <w:rFonts w:ascii="Times New Roman" w:hAnsi="Times New Roman"/>
          <w:b/>
          <w:i w:val="false"/>
          <w:caps w:val="false"/>
          <w:smallCaps w:val="false"/>
          <w:sz w:val="20"/>
        </w:rPr>
        <w:t>Registration No. 333-297907</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br/>
        <w:t>SECURITIES AND EXCHANGE COMMISSION</w:t>
        <w:b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2" w:name="xdx_90C_edei--AmendmentDescription_c2025"/>
      <w:bookmarkEnd w:id="2"/>
      <w:r>
        <w:rPr>
          <w:rFonts w:ascii="Times New Roman;Times;Serif" w:hAnsi="Times New Roman;Times;Serif"/>
          <w:b/>
          <w:i w:val="false"/>
          <w:caps w:val="false"/>
          <w:smallCaps w:val="false"/>
          <w:sz w:val="28"/>
        </w:rPr>
        <w:t>AMENDMENT NO. 1</w:t>
        <w:br/>
        <w:t>TO</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 xml:space="preserve">FORM </w:t>
      </w:r>
      <w:bookmarkStart w:id="3" w:name="xdx_90B_edei--DocumentType_dxL_c20250101"/>
      <w:bookmarkEnd w:id="3"/>
      <w:r>
        <w:rPr>
          <w:rFonts w:ascii="Times New Roman" w:hAnsi="Times New Roman"/>
          <w:b/>
          <w:i w:val="false"/>
          <w:caps w:val="false"/>
          <w:smallCaps w:val="false"/>
          <w:sz w:val="28"/>
        </w:rPr>
        <w:t>F-1</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REGISTRATION STATEMENT</w:t>
        <w:br/>
      </w:r>
      <w:r>
        <w:rPr>
          <w:rFonts w:ascii="Times New Roman" w:hAnsi="Times New Roman"/>
          <w:b/>
          <w:i/>
          <w:caps w:val="false"/>
          <w:smallCaps w:val="false"/>
          <w:sz w:val="20"/>
        </w:rPr>
        <w:t>UNDER</w:t>
        <w:br/>
        <w:t>THE SECURITIES ACT OF 1933</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N/A</w:t>
        <w:br/>
        <w:t>(Translation of registrant’s name into English)</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660"/>
        <w:gridCol w:w="60"/>
        <w:gridCol w:w="2525"/>
        <w:gridCol w:w="60"/>
        <w:gridCol w:w="1970"/>
      </w:tblGrid>
      <w:tr>
        <w:trPr/>
        <w:tc>
          <w:tcPr>
            <w:tcW w:w="2660" w:type="dxa"/>
            <w:tcBorders>
              <w:bottom w:val="single" w:sz="8" w:space="0" w:color="000000"/>
            </w:tcBorders>
            <w:vAlign w:val="center"/>
          </w:tcPr>
          <w:p>
            <w:pPr>
              <w:pStyle w:val="TableContents"/>
              <w:bidi w:val="0"/>
              <w:spacing w:before="0" w:after="283"/>
              <w:jc w:val="center"/>
              <w:rPr>
                <w:rFonts w:ascii="Times New Roman" w:hAnsi="Times New Roman"/>
                <w:b/>
                <w:i w:val="false"/>
                <w:caps w:val="false"/>
                <w:smallCaps w:val="false"/>
                <w:sz w:val="20"/>
              </w:rPr>
            </w:pPr>
            <w:bookmarkStart w:id="4" w:name="xdx_90A_edei--EntityIncorporationStateCo"/>
            <w:bookmarkEnd w:id="4"/>
            <w:r>
              <w:rPr>
                <w:rFonts w:ascii="Times New Roman" w:hAnsi="Times New Roman"/>
                <w:b/>
                <w:i w:val="false"/>
                <w:caps w:val="false"/>
                <w:smallCaps w:val="false"/>
                <w:sz w:val="20"/>
              </w:rPr>
              <w:t>Switzerland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5" w:type="dxa"/>
            <w:tcBorders>
              <w:bottom w:val="single" w:sz="8" w:space="0" w:color="000000"/>
            </w:tcBorders>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2834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bottom w:val="single" w:sz="8" w:space="0" w:color="000000"/>
            </w:tcBorders>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 Applicable</w:t>
            </w:r>
          </w:p>
        </w:tc>
      </w:tr>
      <w:tr>
        <w:trPr/>
        <w:tc>
          <w:tcPr>
            <w:tcW w:w="2660" w:type="dxa"/>
            <w:tcBorders/>
            <w:tcMar>
              <w:bottom w:w="0"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5" w:type="dxa"/>
            <w:tcBorders/>
            <w:tcMar>
              <w:bottom w:w="0"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(Primary Standard Industrial</w:t>
              <w:br/>
              <w:t>Classification Code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(IRS Employer</w:t>
              <w:br/>
              <w:t>Identification Number)</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5" w:name="xdx_90C_edei--EntityAddressAddressLine1_"/>
      <w:bookmarkEnd w:id="5"/>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bookmarkStart w:id="6" w:name="xdx_908_edei--EntityAddressAddressLine2_"/>
      <w:bookmarkEnd w:id="6"/>
      <w:r>
        <w:rPr>
          <w:rFonts w:ascii="Times New Roman" w:hAnsi="Times New Roman"/>
          <w:b/>
          <w:i w:val="false"/>
          <w:caps w:val="false"/>
          <w:smallCaps w:val="false"/>
          <w:sz w:val="20"/>
        </w:rPr>
        <w:t xml:space="preserve">8001 Zurich, </w:t>
      </w:r>
      <w:bookmarkStart w:id="7" w:name="xdx_90E_edei--EntityAddressCityOrTown_c2"/>
      <w:bookmarkEnd w:id="7"/>
      <w:r>
        <w:rPr>
          <w:rFonts w:ascii="Times New Roman" w:hAnsi="Times New Roman"/>
          <w:b/>
          <w:i w:val="false"/>
          <w:caps w:val="false"/>
          <w:smallCaps w:val="false"/>
          <w:sz w:val="20"/>
        </w:rPr>
        <w:t>Switzerland</w:t>
      </w:r>
    </w:p>
    <w:p>
      <w:pPr>
        <w:pStyle w:val="TextBody"/>
        <w:bidi w:val="0"/>
        <w:jc w:val="center"/>
        <w:rPr>
          <w:rFonts w:ascii="Times New Roman" w:hAnsi="Times New Roman"/>
          <w:b/>
          <w:i w:val="false"/>
          <w:caps w:val="false"/>
          <w:smallCaps w:val="false"/>
          <w:sz w:val="20"/>
        </w:rPr>
      </w:pPr>
      <w:bookmarkStart w:id="8" w:name="xdx_907_edei--EntityAddressPostalZipCode"/>
      <w:bookmarkEnd w:id="8"/>
      <w:r>
        <w:rPr>
          <w:rFonts w:ascii="Times New Roman" w:hAnsi="Times New Roman"/>
          <w:b/>
          <w:i w:val="false"/>
          <w:caps w:val="false"/>
          <w:smallCaps w:val="false"/>
          <w:sz w:val="20"/>
        </w:rPr>
        <w:t xml:space="preserve">00000Tel: </w:t>
      </w:r>
      <w:bookmarkStart w:id="9" w:name="xdx_90A_edei--CityAreaCode_c20250101__20"/>
      <w:bookmarkEnd w:id="9"/>
      <w:r>
        <w:rPr>
          <w:rFonts w:ascii="Times New Roman" w:hAnsi="Times New Roman"/>
          <w:b/>
          <w:i w:val="false"/>
          <w:caps w:val="false"/>
          <w:smallCaps w:val="false"/>
          <w:sz w:val="20"/>
        </w:rPr>
        <w:t xml:space="preserve">+41 </w:t>
      </w:r>
      <w:bookmarkStart w:id="10" w:name="xdx_90F_edei--LocalPhoneNumber_c20250101"/>
      <w:bookmarkEnd w:id="10"/>
      <w:r>
        <w:rPr>
          <w:rFonts w:ascii="Times New Roman" w:hAnsi="Times New Roman"/>
          <w:b/>
          <w:i w:val="false"/>
          <w:caps w:val="false"/>
          <w:smallCaps w:val="false"/>
          <w:sz w:val="20"/>
        </w:rPr>
        <w:t>44 385 84 50</w:t>
        <w:br/>
        <w:t>(Address, including zip code, and telephone number, including area code, of registrant’s principal executive offices)</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bookmarkStart w:id="11" w:name="xdx_907_edei--ContactPersonnelName_c2025"/>
      <w:bookmarkEnd w:id="11"/>
      <w:r>
        <w:rPr>
          <w:rFonts w:ascii="Times New Roman" w:hAnsi="Times New Roman"/>
          <w:b/>
          <w:i w:val="false"/>
          <w:caps w:val="false"/>
          <w:smallCaps w:val="false"/>
          <w:sz w:val="20"/>
        </w:rPr>
        <w:t>Cogency Global Inc.</w:t>
        <w:br/>
      </w:r>
      <w:bookmarkStart w:id="12" w:name="xdx_90C_edei--EntityAddressAddressLine1_"/>
      <w:bookmarkEnd w:id="12"/>
      <w:r>
        <w:rPr>
          <w:rFonts w:ascii="Times New Roman" w:hAnsi="Times New Roman"/>
          <w:b/>
          <w:i w:val="false"/>
          <w:caps w:val="false"/>
          <w:smallCaps w:val="false"/>
          <w:sz w:val="20"/>
        </w:rPr>
        <w:t>122 East 42</w:t>
      </w:r>
      <w:r>
        <w:rPr>
          <w:rFonts w:ascii="Times New Roman" w:hAnsi="Times New Roman"/>
          <w:b/>
          <w:i w:val="false"/>
          <w:caps w:val="false"/>
          <w:smallCaps w:val="false"/>
          <w:position w:val="7"/>
          <w:sz w:val="16"/>
          <w:sz w:val="20"/>
        </w:rPr>
        <w:t>nd</w:t>
      </w:r>
      <w:r>
        <w:rPr>
          <w:rFonts w:ascii="Times New Roman" w:hAnsi="Times New Roman"/>
          <w:b/>
          <w:i w:val="false"/>
          <w:caps w:val="false"/>
          <w:smallCaps w:val="false"/>
          <w:sz w:val="20"/>
        </w:rPr>
        <w:t xml:space="preserve"> Street,</w:t>
        <w:br/>
      </w:r>
      <w:bookmarkStart w:id="13" w:name="xdx_902_edei--EntityAddressAddressLine2_"/>
      <w:bookmarkEnd w:id="13"/>
      <w:r>
        <w:rPr>
          <w:rFonts w:ascii="Times New Roman" w:hAnsi="Times New Roman"/>
          <w:b/>
          <w:i w:val="false"/>
          <w:caps w:val="false"/>
          <w:smallCaps w:val="false"/>
          <w:sz w:val="20"/>
        </w:rPr>
        <w:t>18</w:t>
      </w:r>
      <w:r>
        <w:rPr>
          <w:rFonts w:ascii="Times New Roman" w:hAnsi="Times New Roman"/>
          <w:b/>
          <w:i w:val="false"/>
          <w:caps w:val="false"/>
          <w:smallCaps w:val="false"/>
          <w:position w:val="7"/>
          <w:sz w:val="16"/>
          <w:sz w:val="20"/>
        </w:rPr>
        <w:t>th</w:t>
      </w:r>
      <w:r>
        <w:rPr>
          <w:rFonts w:ascii="Times New Roman" w:hAnsi="Times New Roman"/>
          <w:b/>
          <w:i w:val="false"/>
          <w:caps w:val="false"/>
          <w:smallCaps w:val="false"/>
          <w:sz w:val="20"/>
        </w:rPr>
        <w:t xml:space="preserve"> Floor</w:t>
        <w:br/>
      </w:r>
      <w:bookmarkStart w:id="14" w:name="xdx_907_edei--EntityAddressCityOrTown_c2"/>
      <w:bookmarkEnd w:id="14"/>
      <w:r>
        <w:rPr>
          <w:rFonts w:ascii="Times New Roman" w:hAnsi="Times New Roman"/>
          <w:b/>
          <w:i w:val="false"/>
          <w:caps w:val="false"/>
          <w:smallCaps w:val="false"/>
          <w:sz w:val="20"/>
        </w:rPr>
        <w:t xml:space="preserve">New York, </w:t>
      </w:r>
      <w:bookmarkStart w:id="15" w:name="xdx_908_edei--EntityAddressStateOrProvin"/>
      <w:bookmarkEnd w:id="15"/>
      <w:r>
        <w:rPr>
          <w:rFonts w:ascii="Times New Roman" w:hAnsi="Times New Roman"/>
          <w:b/>
          <w:i w:val="false"/>
          <w:caps w:val="false"/>
          <w:smallCaps w:val="false"/>
          <w:sz w:val="20"/>
        </w:rPr>
        <w:t xml:space="preserve">NY </w:t>
      </w:r>
      <w:bookmarkStart w:id="16" w:name="xdx_909_edei--EntityAddressPostalZipCode"/>
      <w:bookmarkEnd w:id="16"/>
      <w:r>
        <w:rPr>
          <w:rFonts w:ascii="Times New Roman" w:hAnsi="Times New Roman"/>
          <w:b/>
          <w:i w:val="false"/>
          <w:caps w:val="false"/>
          <w:smallCaps w:val="false"/>
          <w:sz w:val="20"/>
        </w:rPr>
        <w:t>10168</w:t>
        <w:br/>
        <w:t>+</w:t>
      </w:r>
      <w:bookmarkStart w:id="17" w:name="xdx_90B_edei--CountryRegion_c20250101__2"/>
      <w:bookmarkEnd w:id="17"/>
      <w:r>
        <w:rPr>
          <w:rFonts w:ascii="Times New Roman" w:hAnsi="Times New Roman"/>
          <w:b/>
          <w:i w:val="false"/>
          <w:caps w:val="false"/>
          <w:smallCaps w:val="false"/>
          <w:sz w:val="20"/>
        </w:rPr>
        <w:t>1</w:t>
      </w:r>
      <w:bookmarkStart w:id="18" w:name="xdx_903_edei--CityAreaCode_c20250101__20"/>
      <w:bookmarkEnd w:id="18"/>
      <w:r>
        <w:rPr>
          <w:rFonts w:ascii="Times New Roman" w:hAnsi="Times New Roman"/>
          <w:b/>
          <w:i w:val="false"/>
          <w:caps w:val="false"/>
          <w:smallCaps w:val="false"/>
          <w:sz w:val="20"/>
        </w:rPr>
        <w:t xml:space="preserve">(800) </w:t>
      </w:r>
      <w:bookmarkStart w:id="19" w:name="xdx_908_edei--LocalPhoneNumber_c20250101"/>
      <w:bookmarkEnd w:id="19"/>
      <w:r>
        <w:rPr>
          <w:rFonts w:ascii="Times New Roman" w:hAnsi="Times New Roman"/>
          <w:b/>
          <w:i w:val="false"/>
          <w:caps w:val="false"/>
          <w:smallCaps w:val="false"/>
          <w:sz w:val="20"/>
        </w:rPr>
        <w:t>221-0102</w:t>
        <w:br/>
        <w:t>(Name, address, including zip code, and telephone number, including area code, of agent for service)</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caps w:val="false"/>
          <w:smallCaps w:val="false"/>
          <w:sz w:val="20"/>
        </w:rPr>
      </w:pPr>
      <w:r>
        <w:rPr>
          <w:rFonts w:ascii="Times New Roman" w:hAnsi="Times New Roman"/>
          <w:b/>
          <w:i/>
          <w:caps w:val="false"/>
          <w:smallCaps w:val="false"/>
          <w:sz w:val="20"/>
        </w:rPr>
        <w:t>With copies to:</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Joshua A. Kaufman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Elizabeth McNichol</w:t>
        <w:br/>
        <w:t>Katten Muchin Rosenman LLP</w:t>
        <w:br/>
        <w:t>801 Brickell Avenue, 8th Floor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Miami, FL 33131</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+1(305) 420-9400</w:t>
      </w:r>
    </w:p>
    <w:p>
      <w:pPr>
        <w:pStyle w:val="TextBody"/>
        <w:bidi w:val="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 w:hAnsi="Times New Roman"/>
          <w:b/>
          <w:i w:val="false"/>
          <w:caps w:val="false"/>
          <w:smallCaps w:val="false"/>
          <w:sz w:val="20"/>
        </w:rPr>
      </w:pPr>
      <w:r>
        <w:rPr>
          <w:rFonts w:ascii="Times New Roman" w:hAnsi="Times New Roman"/>
          <w:b/>
          <w:i w:val="false"/>
          <w:caps w:val="false"/>
          <w:smallCaps w:val="false"/>
          <w:sz w:val="20"/>
        </w:rPr>
        <w:t>Approximate date of commencement of proposed sale of the securities to the public: As soon as practicable after the effectiveness of this registration statement.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is an emerging growth company as defined in Rule 405 of the Securities Act of 1933.</w:t>
      </w:r>
    </w:p>
    <w:p>
      <w:pPr>
        <w:pStyle w:val="TextBody"/>
        <w:bidi w:val="0"/>
        <w:jc w:val="left"/>
        <w:rPr>
          <w:caps w:val="false"/>
          <w:smallCaps w:val="false"/>
        </w:rPr>
      </w:pPr>
      <w:r>
        <w:rPr>
          <w:caps w:val="false"/>
          <w:smallCaps w:val="false"/>
        </w:rPr>
        <w:t> </w:t>
      </w:r>
    </w:p>
    <w:p>
      <w:pPr>
        <w:pStyle w:val="TextBody"/>
        <w:bidi w:val="0"/>
        <w:ind w:left="0" w:right="0" w:firstLine="36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Emerging growth company </w:t>
      </w:r>
      <w:bookmarkStart w:id="20" w:name="xdx_90C_edei--EntityEmergingGrowthCompan"/>
      <w:bookmarkEnd w:id="20"/>
      <w:r>
        <w:rPr>
          <w:rFonts w:ascii="Times New Roman" w:hAnsi="Times New Roman"/>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bookmarkStart w:id="21" w:name="xdx_909_edei--EntityExTransitionPeriod_c"/>
      <w:bookmarkEnd w:id="21"/>
      <w:r>
        <w:rPr>
          <w:rFonts w:ascii="Times New Roman" w:hAnsi="Times New Roman"/>
          <w:b w:val="false"/>
          <w:i w:val="false"/>
          <w:caps w:val="false"/>
          <w:smallCaps w:val="false"/>
          <w:sz w:val="20"/>
        </w:rPr>
        <w:t>☐</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8(a) of the Securities Act of 1933, as amended, or until the Registration Statement shall become effective on such date as the Securities and Exchange Commission, acting pursuant to such Section</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8(a), may determine.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color w:val="D2232A"/>
        </w:rPr>
      </w:pPr>
      <w:r>
        <w:rPr>
          <w:caps w:val="false"/>
          <w:smallCaps w:val="false"/>
          <w:color w:val="D2232A"/>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is being filed solely to file an exhibit to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Swiss Law and the Company Articles, the shareholders’ meeting has the authority to grant discharge to the members of the Board from liability. The effect of the resolution of release (discharge) by the shareholders’ meeting is effective only for disclosed facts and only against the company and those shareholders who approved the resolution or who have since acquired their shares in full knowledge of the resolution. The right of action of other shareholders lapses twelve months after the resolution of release.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Swiss law, an indemnification of a member of the Board or the executive management in relation to potential personal liability is not effective to the extent the member of the Board or the executive management intentionally or gross negligently violated his or her corporate duties towards the company (certain views advocate that a negligent violation is sufficient to exclude the indemnification). Almost all violations of corporate law are regarded as violations of duties towards the company rather than towards the shareholders. In addition, indemnification of other controlling persons is not permitted under Swiss law, including shareholders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our company pursuant to the foregoing provisions, our company has been informed that in the opinion of the SEC such indemnification is against public policy as expressed in the Securities Act and is therefore unenforceable.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II-1</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Recent sales of unregistered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three years, we and our predecessors have issued the securities described below without registration under the Securities Act. Unless otherwise indicated, the securities described below were issued in transactions not involving any public offering, and we believe such transactions were exempt from registration under Section 4(a)(2) of the Securities Act, Regulation D promulgated thereunder, Regulation S promulgated thereunder and/or other available exemptions from registration under the Securities Act. No underwriters were involved in the transactions described below, except as otherwise indicated. The share and per-share amounts for securities issued by Veraxa Biotech AG prior to the Business Combination refer to securities of legacy Veraxa Biotech AG and should be conformed, as applicable, to reflect the exchange ratio and post-Business Combination capital structure used elsewhere in this registration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Private Offerings for the years 2023-2025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94"/>
        <w:gridCol w:w="60"/>
        <w:gridCol w:w="1521"/>
        <w:gridCol w:w="60"/>
        <w:gridCol w:w="79"/>
        <w:gridCol w:w="1054"/>
        <w:gridCol w:w="60"/>
        <w:gridCol w:w="60"/>
        <w:gridCol w:w="86"/>
        <w:gridCol w:w="809"/>
        <w:gridCol w:w="60"/>
        <w:gridCol w:w="60"/>
        <w:gridCol w:w="60"/>
        <w:gridCol w:w="1400"/>
        <w:gridCol w:w="60"/>
        <w:gridCol w:w="60"/>
        <w:gridCol w:w="2422"/>
      </w:tblGrid>
      <w:tr>
        <w:trPr/>
        <w:tc>
          <w:tcPr>
            <w:tcW w:w="2294" w:type="dxa"/>
            <w:tcBorders>
              <w:bottom w:val="single" w:sz="8" w:space="0" w:color="000000"/>
            </w:tcBorders>
            <w:vAlign w:val="center"/>
          </w:tcPr>
          <w:p>
            <w:pPr>
              <w:pStyle w:val="TableContents"/>
              <w:bidi w:val="0"/>
              <w:spacing w:before="0" w:after="283"/>
              <w:jc w:val="left"/>
              <w:rPr>
                <w:b/>
              </w:rPr>
            </w:pPr>
            <w:r>
              <w:rPr>
                <w:b/>
              </w:rPr>
              <w:t>Date registered with Swiss Share register</w:t>
            </w:r>
          </w:p>
        </w:tc>
        <w:tc>
          <w:tcPr>
            <w:tcW w:w="60" w:type="dxa"/>
            <w:tcBorders/>
            <w:tcMar>
              <w:bottom w:w="0" w:type="dxa"/>
            </w:tcMar>
            <w:vAlign w:val="center"/>
          </w:tcPr>
          <w:p>
            <w:pPr>
              <w:pStyle w:val="TableContents"/>
              <w:bidi w:val="0"/>
              <w:spacing w:before="0" w:after="283"/>
              <w:jc w:val="left"/>
              <w:rPr/>
            </w:pPr>
            <w:r>
              <w:rPr/>
              <w:t> </w:t>
            </w:r>
          </w:p>
        </w:tc>
        <w:tc>
          <w:tcPr>
            <w:tcW w:w="1521" w:type="dxa"/>
            <w:tcBorders>
              <w:bottom w:val="single" w:sz="8" w:space="0" w:color="000000"/>
            </w:tcBorders>
            <w:vAlign w:val="center"/>
          </w:tcPr>
          <w:p>
            <w:pPr>
              <w:pStyle w:val="TableContents"/>
              <w:bidi w:val="0"/>
              <w:spacing w:before="0" w:after="283"/>
              <w:jc w:val="center"/>
              <w:rPr>
                <w:b/>
              </w:rPr>
            </w:pPr>
            <w:r>
              <w:rPr>
                <w:b/>
              </w:rPr>
              <w:t>Security</w:t>
            </w:r>
          </w:p>
        </w:tc>
        <w:tc>
          <w:tcPr>
            <w:tcW w:w="60" w:type="dxa"/>
            <w:tcBorders/>
            <w:tcMar>
              <w:bottom w:w="0" w:type="dxa"/>
            </w:tcMar>
            <w:vAlign w:val="center"/>
          </w:tcPr>
          <w:p>
            <w:pPr>
              <w:pStyle w:val="TableContents"/>
              <w:bidi w:val="0"/>
              <w:spacing w:before="0" w:after="283"/>
              <w:jc w:val="left"/>
              <w:rPr/>
            </w:pPr>
            <w:r>
              <w:rPr/>
              <w:t> </w:t>
            </w:r>
          </w:p>
        </w:tc>
        <w:tc>
          <w:tcPr>
            <w:tcW w:w="1133" w:type="dxa"/>
            <w:gridSpan w:val="2"/>
            <w:tcBorders>
              <w:bottom w:val="single" w:sz="8" w:space="0" w:color="000000"/>
            </w:tcBorders>
            <w:vAlign w:val="center"/>
          </w:tcPr>
          <w:p>
            <w:pPr>
              <w:pStyle w:val="TableContents"/>
              <w:bidi w:val="0"/>
              <w:spacing w:before="0" w:after="283"/>
              <w:jc w:val="center"/>
              <w:rPr>
                <w:b/>
              </w:rPr>
            </w:pPr>
            <w:r>
              <w:rPr>
                <w:b/>
              </w:rPr>
              <w:t>Number issued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Price per</w:t>
              <w:br/>
              <w:t>Share (CHF)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8" w:space="0" w:color="000000"/>
            </w:tcBorders>
            <w:vAlign w:val="center"/>
          </w:tcPr>
          <w:p>
            <w:pPr>
              <w:pStyle w:val="TableContents"/>
              <w:bidi w:val="0"/>
              <w:spacing w:before="0" w:after="283"/>
              <w:jc w:val="center"/>
              <w:rPr>
                <w:b/>
              </w:rPr>
            </w:pPr>
            <w:r>
              <w:rPr>
                <w:b/>
              </w:rPr>
              <w:t>Total</w:t>
              <w:br/>
              <w:t>Consideration</w:t>
              <w:br/>
              <w:t>(CHF)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22" w:type="dxa"/>
            <w:tcBorders>
              <w:bottom w:val="single" w:sz="8" w:space="0" w:color="000000"/>
            </w:tcBorders>
            <w:vAlign w:val="center"/>
          </w:tcPr>
          <w:p>
            <w:pPr>
              <w:pStyle w:val="TableContents"/>
              <w:bidi w:val="0"/>
              <w:spacing w:before="0" w:after="283"/>
              <w:jc w:val="center"/>
              <w:rPr>
                <w:b/>
              </w:rPr>
            </w:pPr>
            <w:r>
              <w:rPr>
                <w:b/>
              </w:rPr>
              <w:t>Purchaser</w:t>
            </w:r>
          </w:p>
        </w:tc>
      </w:tr>
      <w:tr>
        <w:trPr/>
        <w:tc>
          <w:tcPr>
            <w:tcW w:w="2294" w:type="dxa"/>
            <w:tcBorders/>
            <w:shd w:fill="CCEEFF" w:val="clear"/>
            <w:tcMar>
              <w:bottom w:w="0" w:type="dxa"/>
            </w:tcMar>
            <w:vAlign w:val="center"/>
          </w:tcPr>
          <w:p>
            <w:pPr>
              <w:pStyle w:val="TableContents"/>
              <w:bidi w:val="0"/>
              <w:spacing w:before="0" w:after="283"/>
              <w:jc w:val="left"/>
              <w:rPr/>
            </w:pPr>
            <w:r>
              <w:rPr/>
              <w:t>21.22.2025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34,682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47.17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1,635,931.60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(see below note to Share lending agreement)</w:t>
            </w:r>
          </w:p>
        </w:tc>
      </w:tr>
      <w:tr>
        <w:trPr/>
        <w:tc>
          <w:tcPr>
            <w:tcW w:w="2294" w:type="dxa"/>
            <w:tcBorders/>
            <w:shd w:fill="FFFFFF" w:val="clear"/>
            <w:tcMar>
              <w:bottom w:w="0" w:type="dxa"/>
            </w:tcMar>
            <w:vAlign w:val="center"/>
          </w:tcPr>
          <w:p>
            <w:pPr>
              <w:pStyle w:val="TableContents"/>
              <w:bidi w:val="0"/>
              <w:spacing w:before="0" w:after="283"/>
              <w:jc w:val="left"/>
              <w:rPr/>
            </w:pPr>
            <w:r>
              <w:rPr/>
              <w:t>27.08.2025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Employee Stock (ESOP)</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347,542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347,542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Directors</w:t>
            </w:r>
          </w:p>
        </w:tc>
      </w:tr>
      <w:tr>
        <w:trPr/>
        <w:tc>
          <w:tcPr>
            <w:tcW w:w="2294" w:type="dxa"/>
            <w:tcBorders/>
            <w:shd w:fill="CCEEFF" w:val="clear"/>
            <w:tcMar>
              <w:bottom w:w="0" w:type="dxa"/>
            </w:tcMar>
            <w:vAlign w:val="center"/>
          </w:tcPr>
          <w:p>
            <w:pPr>
              <w:pStyle w:val="TableContents"/>
              <w:bidi w:val="0"/>
              <w:spacing w:before="0" w:after="283"/>
              <w:jc w:val="left"/>
              <w:rPr/>
            </w:pPr>
            <w:r>
              <w:rPr/>
              <w:t>27.08.2025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186,744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26,10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4,874,018.40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(see below note to Share lending agreement)</w:t>
            </w:r>
          </w:p>
        </w:tc>
      </w:tr>
      <w:tr>
        <w:trPr/>
        <w:tc>
          <w:tcPr>
            <w:tcW w:w="2294" w:type="dxa"/>
            <w:tcBorders/>
            <w:shd w:fill="FFFFFF" w:val="clear"/>
            <w:tcMar>
              <w:bottom w:w="0" w:type="dxa"/>
            </w:tcMar>
            <w:vAlign w:val="center"/>
          </w:tcPr>
          <w:p>
            <w:pPr>
              <w:pStyle w:val="TableContents"/>
              <w:bidi w:val="0"/>
              <w:spacing w:before="0" w:after="283"/>
              <w:jc w:val="left"/>
              <w:rPr/>
            </w:pPr>
            <w:r>
              <w:rPr/>
              <w:t>13.09.2024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78,203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22,80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1,723,028.40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Investors</w:t>
            </w:r>
          </w:p>
        </w:tc>
      </w:tr>
      <w:tr>
        <w:trPr/>
        <w:tc>
          <w:tcPr>
            <w:tcW w:w="2294" w:type="dxa"/>
            <w:tcBorders/>
            <w:shd w:fill="CCEEFF" w:val="clear"/>
            <w:tcMar>
              <w:bottom w:w="0" w:type="dxa"/>
            </w:tcMar>
            <w:vAlign w:val="center"/>
          </w:tcPr>
          <w:p>
            <w:pPr>
              <w:pStyle w:val="TableContents"/>
              <w:bidi w:val="0"/>
              <w:spacing w:before="0" w:after="283"/>
              <w:jc w:val="left"/>
              <w:rPr/>
            </w:pPr>
            <w:r>
              <w:rPr/>
              <w:t>30.05.2024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25,830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588,924.00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Investors</w:t>
            </w:r>
          </w:p>
        </w:tc>
      </w:tr>
      <w:tr>
        <w:trPr/>
        <w:tc>
          <w:tcPr>
            <w:tcW w:w="2294" w:type="dxa"/>
            <w:tcBorders/>
            <w:shd w:fill="FFFFFF" w:val="clear"/>
            <w:tcMar>
              <w:bottom w:w="0" w:type="dxa"/>
            </w:tcMar>
            <w:vAlign w:val="center"/>
          </w:tcPr>
          <w:p>
            <w:pPr>
              <w:pStyle w:val="TableContents"/>
              <w:bidi w:val="0"/>
              <w:spacing w:before="0" w:after="283"/>
              <w:jc w:val="left"/>
              <w:rPr/>
            </w:pPr>
            <w:r>
              <w:rPr/>
              <w:t>30.05.2024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Employee Stock (ESOP)</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140,400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140,400.00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Directors</w:t>
            </w:r>
          </w:p>
        </w:tc>
      </w:tr>
      <w:tr>
        <w:trPr/>
        <w:tc>
          <w:tcPr>
            <w:tcW w:w="2294" w:type="dxa"/>
            <w:tcBorders/>
            <w:shd w:fill="CCEEFF" w:val="clear"/>
            <w:tcMar>
              <w:bottom w:w="0" w:type="dxa"/>
            </w:tcMar>
            <w:vAlign w:val="center"/>
          </w:tcPr>
          <w:p>
            <w:pPr>
              <w:pStyle w:val="TableContents"/>
              <w:bidi w:val="0"/>
              <w:spacing w:before="0" w:after="283"/>
              <w:jc w:val="left"/>
              <w:rPr/>
            </w:pPr>
            <w:r>
              <w:rPr/>
              <w:t>11.01.2024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528,543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12,050,780.40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Investors (Acquisition of Synimmune GmbH)</w:t>
            </w:r>
          </w:p>
        </w:tc>
      </w:tr>
      <w:tr>
        <w:trPr/>
        <w:tc>
          <w:tcPr>
            <w:tcW w:w="2294" w:type="dxa"/>
            <w:tcBorders/>
            <w:shd w:fill="FFFFFF" w:val="clear"/>
            <w:tcMar>
              <w:bottom w:w="0" w:type="dxa"/>
            </w:tcMar>
            <w:vAlign w:val="center"/>
          </w:tcPr>
          <w:p>
            <w:pPr>
              <w:pStyle w:val="TableContents"/>
              <w:bidi w:val="0"/>
              <w:spacing w:before="0" w:after="283"/>
              <w:jc w:val="left"/>
              <w:rPr/>
            </w:pPr>
            <w:r>
              <w:rPr/>
              <w:t>16.10.2023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4,400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22,80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100,320.00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Investors</w:t>
            </w:r>
          </w:p>
        </w:tc>
      </w:tr>
      <w:tr>
        <w:trPr/>
        <w:tc>
          <w:tcPr>
            <w:tcW w:w="2294" w:type="dxa"/>
            <w:tcBorders/>
            <w:shd w:fill="CCEEFF" w:val="clear"/>
            <w:tcMar>
              <w:bottom w:w="0" w:type="dxa"/>
            </w:tcMar>
            <w:vAlign w:val="center"/>
          </w:tcPr>
          <w:p>
            <w:pPr>
              <w:pStyle w:val="TableContents"/>
              <w:bidi w:val="0"/>
              <w:spacing w:before="0" w:after="283"/>
              <w:jc w:val="left"/>
              <w:rPr/>
            </w:pPr>
            <w:r>
              <w:rPr/>
              <w:t>08.08.2023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416,057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9,486,099.60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Investors</w:t>
            </w:r>
          </w:p>
        </w:tc>
      </w:tr>
      <w:tr>
        <w:trPr/>
        <w:tc>
          <w:tcPr>
            <w:tcW w:w="2294" w:type="dxa"/>
            <w:tcBorders/>
            <w:shd w:fill="FFFFFF" w:val="clear"/>
            <w:tcMar>
              <w:bottom w:w="0" w:type="dxa"/>
            </w:tcMar>
            <w:vAlign w:val="center"/>
          </w:tcPr>
          <w:p>
            <w:pPr>
              <w:pStyle w:val="TableContents"/>
              <w:bidi w:val="0"/>
              <w:spacing w:before="0" w:after="283"/>
              <w:jc w:val="left"/>
              <w:rPr/>
            </w:pPr>
            <w:r>
              <w:rPr/>
              <w:t>06.06.2023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263,050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22,80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5,997,540.00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Investors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Share Lending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share lending agreement with Xlife Sciences AG, one of their shareholders, for a fixed term ending on December 31, 2025. Under the terms of the agreement, Xlife Sciences AG agreed to lend the Company up to 1,000,000 of our ordinary shares. In consideration for the share loan, the Company agreed to pay Xlife Sciences AG a monthly fixed fee equal to 3.5% over the duration of the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May 2025 to October 2025 the Company entered into subscription agreements for an offering of registered shares with various investors and sold 34,682 shares at an average purchase price of CHF 47.17 per unit. The notary process for this capital increase is currently in progress. The purchasing amount will be offset against the corresponding liability to Xlife Sciences out of the Share Lending Agreement for the shares sold.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November 2024 to May 2025 the Company entered into subscription agreements for an offering of registered shares with Xlife Sciences AG and sold 186,744 shares at a purchase price of CHF 26.10 per unit. The purchasing amount was offset against a liability to Xlife Sciences out of the Share Lending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II-2</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PubCo Formation and Business Combination-related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PubCo, which was formed for purposes of the Business Combination, issued 100,000 Ordinary Shares for aggregate consideration of CHF 100,000. PubCo was incorporated under Swiss law solely for the purpose of effectuating the Business Combination, which was consummated on June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corporate restructuring and merger of legacy Veraxa Biotech AG into PubCo, PubCo effected a share split of its initial share capital of CHF 100,000 into 11,325,000 shares, increased its share capital by CHF 1,147,904, and issued 130,000,128 new PubCo Ordinary Shares to legacy Veraxa Biotech AG shareholders in exchange for 14,751,067 legacy Veraxa Biotech AG shares, at an exchange ratio of 8.81293 new shares per legacy Veraxa Biotech AG share. No cash compensation or special advantages were granted in the share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registration statement on Form F-4 relating to the Business Combination constituted a prospectus of PubCo under Section 5 of the Securities Act with respect to, among other securities, Ordinary Shares to be issued to legacy Veraxa Biotech AG shareholders, Earnout Shares to be issued to legacy Veraxa Biotech AG shareholders, Ordinary Shares to be issued to SPAC shareholders, and Warrants to be issued to SPAC warrant holders. Accordingly, any securities issued pursuant to the Form F-4 registration statement are excluded from this Item 7 to the extent they were registered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 Trail Financing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the High Trail Affiliated Entities entered into a Securities Purchase Agreement in respect of a private placement of a senior secured note in the principal amount of $27.5 million and a four-year warrant for an aggregate exercise price of $27.5 million, with an initial exercise price of $11.50 per share, subject to customary anti-dilution protections. The closing of the HTC Financing occurred on June 15, 2026, and funding occurred concurrently with the closing of the HTC Financing. The warrant issued in the HTC Financing reflects 2,391,305 Ordinary Shares underlying such warrant. Up to 11,000,000 Ordinary Shares are registered for resale pursuant to the HTC Note and the High Trail Warrant issued in the HTC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Lincoln Park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Lincoln Park entered into a purchase agreement and related registration rights agreement, pursuant to which Lincoln Park committed, subject to certain conditions and limitations, to purchase up to an aggregate of $50.0 million of our Ordinary Shares over a 24-month period at market-based purchase prices. The Lincoln Park purchase agreement includes a 4.99% beneficial ownership cap, which may be increased to 9.99% upon 61 days’ prior written notice. As consideration for Lincoln Park’s commitment, we agreed to issue to Lincoln Park $750,000 of Ordinary Shares. On July 30, 2026, we issued 340,910 Commitment Shares to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Cantor Fee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Cantor Fitzgerald &amp; Co. entered into the Fee Modification Agreement. Under the Fee Modification Agreement, the original deferred fee was modified to include, in part, 3,500,000 Ordinary Shares. On July 30, 2026, we issued 3,500,000 Ordinary Shares to Cantor Fitzgerald &amp; Co. pursuant to the Fee Modification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Voyager Acquisition Corp. Predecessor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SPAC issued Founder Shares and Private Warrants in private transactions. During 2024, SPAC issued 5,750,000 SPAC Class B Ordinary Shares to the Sponsor on January 11, 2024 for $25,000, issued 1,725,000 additional SPAC Class B Ordinary Shares on February 16, 2024 for no additional consideration, issued 28,750 additional SPAC Class B Ordinary Shares to the Sponsor on May 31, 2024, and forfeited 1,178,750 SPAC Class B Ordinary Shares on July 19, 2024, resulting in 6,325,000 Founder Shares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SPAC IPO on August 8, 2024, the SPAC completed the private sale of 7,665,000 Private Warrants at a purchase price of $1.00 per Private Warrant, generating gross proceeds of $7.665 million. In that private placement, the Sponsor purchased 5,037,500 Private Warrants, and Cantor Fitzgerald &amp; Co. and Odeon Capital Group LLC purchased 2,627,500 Private Warrants. Each Private Warrant is exercisable for one Ordinary Share at an exercise price of $11.50 per share,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SPAC assigned its rights under the Warrant Agreement to the Company, and the Company assumed the Warrants provided for under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II-3</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documents are filed as part of this registration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this registration statement: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6"/>
        <w:gridCol w:w="60"/>
        <w:gridCol w:w="9219"/>
      </w:tblGrid>
      <w:tr>
        <w:trPr/>
        <w:tc>
          <w:tcPr>
            <w:tcW w:w="92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Business Combination Agreement, dated April 22, 2025, by and among Voyager Acquisition Corp., Veraxa Biotech AG and Oliver Baumann (incorporated by reference to Exhibit 2.1 to SPAC’s Current Report on Form 8-K (File No. 001-42211) filed with the SEC on April 23, 2025)</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Amendment to Business Combination Agreement, dated October 18, 2025, by and among Voyager Acquisition Corp., Veraxa Biotech AG, and Oliver Baumann (incorporated by reference to Exhibit 2.1 to SPAC’s Current Report on Form 8-K (File No. 001-42211) filed with the SEC on October 21, 2025)</w:t>
              </w:r>
            </w:hyperlink>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Second Amendment and Waiver to Business Combination Agreement, dated February 2, 2026, by and among Voyager Acquisition Corp., Veraxa Biotech AG, and Oliver Baumann (incorporated by reference to Exhibit 2.1 to SPAC’s Current Report on Form 8-K (File No. 001-42211) filed with the SEC on February 3, 2026)</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Amended and Restated Articles of Association of Veraxa Biotech AG (Company Articles) (incorporated by reference to Exhibit 99.2 of the Company’s Report on Form 6-K (File No. 001-43342) filed with the SEC on July 27, 2026)</w:t>
              </w:r>
            </w:hyperlink>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Description of Securities (incorporated by reference to Exhibit 2.1 of the Company’s Shell Company Report on Form 20-F (File No. 001-42211) filed on June 16, 2026)</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Warrant Agreement, dated August 8, 2024, by and between Voyager Acquisition Corp. and Continental Stock Transfer &amp; Trust Company (incorporated by reference to Exhibit 4.1 to SPAC’s Current Report on Form 8-K (File No. 001-42211) filed with the SEC on August 14, 2024)</w:t>
              </w:r>
            </w:hyperlink>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Private Placement Warrants Purchase Agreement dated August 8, 2024, by and among Voyager Acquisition Corp. and Voyager Sponsor Acquisition Holdco LLC (incorporated by reference to Exhibit 10.4 to the SPAC’s Current Report on Form 8-K (File No. 001-42211) filed on August 14, 2024</w:t>
              </w:r>
            </w:hyperlink>
            <w:r>
              <w:rPr>
                <w:rFonts w:ascii="Times New Roman;Times;Serif" w:hAnsi="Times New Roman;Times;Serif"/>
                <w:b w:val="false"/>
                <w:i w:val="false"/>
                <w:caps w:val="false"/>
                <w:smallCaps w:val="false"/>
                <w:sz w:val="20"/>
              </w:rPr>
              <w:t>)</w:t>
            </w:r>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Private Placement Warrants Purchase Agreement dated August 8, 2024, by and among Voyager Acquisition Corp., Cantor Fitzgerald &amp; Co. and Odeon Capital Group LLC (incorporated by reference to Exhibit 10.5 to the SPAC’s Current Report on Form 8-K (File No. 001-42211) filed on August 14, 2024</w:t>
              </w:r>
            </w:hyperlink>
            <w:r>
              <w:rPr>
                <w:rFonts w:ascii="Times New Roman;Times;Serif" w:hAnsi="Times New Roman;Times;Serif"/>
                <w:b w:val="false"/>
                <w:i w:val="false"/>
                <w:caps w:val="false"/>
                <w:smallCaps w:val="false"/>
                <w:sz w:val="20"/>
              </w:rPr>
              <w:t>)</w:t>
            </w:r>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Warrant Assignment, Assumption and Amendment Agreement, dated June 10, 2026, by and among Voyager Acquisition Corp., Veraxa Biotech Holding AG and Continental Stock Transfer &amp; Trust Company (incorporated by reference to Exhibit 2.5 of the Company’s Shell Company Report on Form 20-F (File No. 001-42211) filed on June 16, 2026)</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w:anchor="veraxabiotech_ex5-1.htm">
              <w:r>
                <w:rPr>
                  <w:rStyle w:val="InternetLink"/>
                  <w:rFonts w:ascii="Times New Roman;Times;Serif" w:hAnsi="Times New Roman;Times;Serif"/>
                  <w:b w:val="false"/>
                  <w:i w:val="false"/>
                  <w:caps w:val="false"/>
                  <w:smallCaps w:val="false"/>
                  <w:sz w:val="20"/>
                </w:rPr>
                <w:t>Opinion of Walder Wyss Ltd.</w:t>
              </w:r>
            </w:hyperlink>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Joinder Agreement, dated July 26, 2025, by and among Voyager Acquisition Corp., Veraxa Biotech AG, Oliver Baumann, Veraxa Biotech Holding AG and Veraxa Cayman Merger Sub (incorporated by reference to Exhibit 10.1 of SPAC’s Current Report on Form 8-K (File No. 001-42211) filed with the SEC on July 16, 2025).</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Sponsor Support Agreement, dated April 22, 2025, by and among Voyager Acquisition Corp., Veraxa Biotech AG and Voyager Acquisition Sponsor Holdco LLC (incorporated by reference to Exhibit 10.2 to SPAC’s Current Report on Form 8-K (File No. 001-42211) filed with the SEC on April 23, 2025)</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II-4</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7"/>
        <w:gridCol w:w="60"/>
        <w:gridCol w:w="9238"/>
      </w:tblGrid>
      <w:tr>
        <w:trPr/>
        <w:tc>
          <w:tcPr>
            <w:tcW w:w="90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First Amendment to Sponsor Support Agreement, dated February 2, 2026, by and among Voyager Acquisition Corp., Veraxa Biotech AG and Voyager Acquisition Sponsor Holdco LLC (incorporated by reference to Exhibit 10.1 to SPAC’s Current Report on Form 8-K (File No. 001-42211) filed on February 3,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Second Amendment to Sponsor Support Agreement, dated May 7, 2026, by and among Voyager Acquisition Corp., Veraxa Biotech AG and Voyager Acquisition Sponsor Holdco LLC. (incorporated by reference to Exhibit 4.7 of the Company’s Shell Company Report on Form 20-F (File No. 001-42211) filed on June 16,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Voting, Support and Lock-Up Agreement, dated as of April 22, 2025 by and among Voyager Acquisition Corp., Voyager Acquisition Sponsor Holdco, LLC and Veraxa Biotech AG (incorporated by reference to Exhibit 10.1 SPAC’s Current Report on Form 8-K (File No. 001-42211) filed on April 23, 2025)</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First Amendment to Voting, Support and Lock-Up Agreement, dated February 12, 2026, by and among Voyager Acquisition Corp., Voyager Acquisition Sponsor Holdco, LLC and Veraxa Biotech AG (incorporated by reference to Exhibit 10.22 the Company’s Registration Statement on Form F-4/A filed on February 13,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Securities Purchase Agreement, dated May 27, 2026, by and among Veraxa Biotech Holding AG, Veraxa Biotech AG, Voyager Acquisition Corp. and the investors listed therein (incorporated by reference to Exhibit 10.1 to SPAC’s Current Report on Form 8-K (File No. 001-42211) filed on May 29,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Senior Secured Note due 2027, dated June 15, 2026 (incorporated by reference to Exhibit 4.11 of the Company’s Shell Company Report on Form 20-F (File No. 001-42211) filed on June 16,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Warrant to Purchase Ordinary Shares of the Company, dated June 15, 2026 (incorporated by reference to Exhibit 4.12 of the Company’s Shell Company Report on Form 20-F (File No. 001-42211) filed on June 16,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Purchase Agreement, dated May 27, 2026, by and among Voyager Acquisition Corp., Veraxa Biotech Holding AG, and Lincoln Park Capital Fund, LLC (incorporated by reference to Exhibit 10.4 to SPAC’s Form 8-K filed May 29, 2026)</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(incorporated by reference to Exhibit 4.13 of the Company’s Shell Company Report on Form 20-F (File No. 001-42211) filed on June 16,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List of Subsidiaries of the Registrant (incorporated by reference to Exhibit 8.1 of the Company’s Shell Company Report on Form 20-F (File No. 001-42211) filed on June 16,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Consent of WithumSmith+Brown, PC, independent registered public accounting firm for Voyager Acquisition Corp.</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Consent of Grassi &amp; Co., CPAs, P.C., independent registered accounting firm for Veraxa Biotech AG</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Consent of Grassi &amp; Co., CPAs, P.C., independent registered accounting firm for Veraxa Biotech Holding AG</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w:anchor="veraxabiotech_ex5-1.htm">
              <w:r>
                <w:rPr>
                  <w:rStyle w:val="InternetLink"/>
                  <w:rFonts w:ascii="Times New Roman;Times;Serif" w:hAnsi="Times New Roman;Times;Serif"/>
                  <w:b w:val="false"/>
                  <w:i w:val="false"/>
                  <w:caps w:val="false"/>
                  <w:smallCaps w:val="false"/>
                  <w:sz w:val="20"/>
                </w:rPr>
                <w:t>Consent of Walder Wyss Ltd. (included in Exhibit 5.1)</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w:anchor="poa">
              <w:r>
                <w:rPr>
                  <w:rStyle w:val="InternetLink"/>
                  <w:rFonts w:ascii="Times New Roman;Times;Serif" w:hAnsi="Times New Roman;Times;Serif"/>
                  <w:b w:val="false"/>
                  <w:i w:val="false"/>
                  <w:caps w:val="false"/>
                  <w:smallCaps w:val="false"/>
                  <w:sz w:val="20"/>
                </w:rPr>
                <w:t>Power of Attorney (included on signature page to the initial filing of the Registration Statement).</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Filing Fee Table</w:t>
              </w:r>
            </w:hyperlink>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Previously filed.</w:t>
            </w:r>
          </w:p>
        </w:tc>
      </w:tr>
      <w:tr>
        <w:trPr/>
        <w:tc>
          <w:tcPr>
            <w:tcW w:w="211"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Filed herewith.</w:t>
            </w:r>
          </w:p>
        </w:tc>
      </w:tr>
      <w:tr>
        <w:trPr/>
        <w:tc>
          <w:tcPr>
            <w:tcW w:w="211"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Schedules and exhibits to this Exhibit omitted pursuant to Regulation S-K Item 601(a)(5). The Registrant agrees to furnish supplementally a copy of any omitted schedule or exhibit to the SEC upon request.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II-5</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7295" w:type="dxa"/>
            <w:tcBorders/>
            <w:vAlign w:val="center"/>
          </w:tcPr>
          <w:p>
            <w:pPr>
              <w:pStyle w:val="TableContents"/>
              <w:bidi w:val="0"/>
              <w:spacing w:before="0" w:after="283"/>
              <w:jc w:val="both"/>
              <w:rPr/>
            </w:pPr>
            <w:r>
              <w:rPr/>
              <w:t>To include any prospectus required by Section 10(a)(3) of the Securities 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(ii)</w:t>
            </w:r>
          </w:p>
        </w:tc>
        <w:tc>
          <w:tcPr>
            <w:tcW w:w="9924" w:type="dxa"/>
            <w:tcBorders/>
            <w:vAlign w:val="center"/>
          </w:tcPr>
          <w:p>
            <w:pPr>
              <w:pStyle w:val="TableContents"/>
              <w:bidi w:val="0"/>
              <w:spacing w:before="0" w:after="283"/>
              <w:jc w:val="both"/>
              <w:rPr>
                <w:sz w:val="20"/>
              </w:rPr>
            </w:pPr>
            <w:r>
              <w:rPr>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1"/>
        <w:gridCol w:w="9819"/>
      </w:tblGrid>
      <w:tr>
        <w:trPr/>
        <w:tc>
          <w:tcPr>
            <w:tcW w:w="75"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(iii)</w:t>
            </w:r>
          </w:p>
        </w:tc>
        <w:tc>
          <w:tcPr>
            <w:tcW w:w="9819"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w:t>
            </w:r>
          </w:p>
        </w:tc>
      </w:tr>
    </w:tbl>
    <w:p>
      <w:pPr>
        <w:pStyle w:val="TextBody"/>
        <w:bidi w:val="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170"/>
        <w:gridCol w:w="8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both"/>
              <w:rPr/>
            </w:pPr>
            <w:r>
              <w:rPr/>
              <w:t>That, for the purpose of determining liability under the Securities Act to any purchaser,</w:t>
            </w:r>
          </w:p>
        </w:tc>
      </w:tr>
    </w:tbl>
    <w:p>
      <w:pPr>
        <w:pStyle w:val="TextBody"/>
        <w:bidi w:val="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230"/>
        <w:gridCol w:w="38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3830" w:type="dxa"/>
            <w:tcBorders/>
            <w:vAlign w:val="center"/>
          </w:tcPr>
          <w:p>
            <w:pPr>
              <w:pStyle w:val="TableContents"/>
              <w:bidi w:val="0"/>
              <w:spacing w:before="0" w:after="283"/>
              <w:jc w:val="both"/>
              <w:rPr/>
            </w:pPr>
            <w:r>
              <w:rPr/>
              <w:t>if the registrant is relying on Rule 430B;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8"/>
        <w:gridCol w:w="9822"/>
      </w:tblGrid>
      <w:tr>
        <w:trPr/>
        <w:tc>
          <w:tcPr>
            <w:tcW w:w="75"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(A)</w:t>
            </w:r>
          </w:p>
        </w:tc>
        <w:tc>
          <w:tcPr>
            <w:tcW w:w="9822"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II-6</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(B)</w:t>
            </w:r>
          </w:p>
        </w:tc>
        <w:tc>
          <w:tcPr>
            <w:tcW w:w="9866" w:type="dxa"/>
            <w:tcBorders/>
            <w:vAlign w:val="center"/>
          </w:tcPr>
          <w:p>
            <w:pPr>
              <w:pStyle w:val="TableContents"/>
              <w:bidi w:val="0"/>
              <w:spacing w:before="0" w:after="283"/>
              <w:jc w:val="both"/>
              <w:rPr/>
            </w:pPr>
            <w:r>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both"/>
              <w:rPr/>
            </w:pPr>
            <w:r>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(i)</w:t>
            </w:r>
          </w:p>
        </w:tc>
        <w:tc>
          <w:tcPr>
            <w:tcW w:w="9919"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(ii)</w:t>
            </w:r>
          </w:p>
        </w:tc>
        <w:tc>
          <w:tcPr>
            <w:tcW w:w="9868"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9"/>
        <w:gridCol w:w="9821"/>
      </w:tblGrid>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(iii)</w:t>
            </w:r>
          </w:p>
        </w:tc>
        <w:tc>
          <w:tcPr>
            <w:tcW w:w="9821"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45"/>
        <w:gridCol w:w="9785"/>
      </w:tblGrid>
      <w:tr>
        <w:trPr/>
        <w:tc>
          <w:tcPr>
            <w:tcW w:w="75"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(iv)</w:t>
            </w:r>
          </w:p>
        </w:tc>
        <w:tc>
          <w:tcPr>
            <w:tcW w:w="9785"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II-7</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(i)</w:t>
            </w:r>
          </w:p>
        </w:tc>
        <w:tc>
          <w:tcPr>
            <w:tcW w:w="9958" w:type="dxa"/>
            <w:tcBorders/>
            <w:vAlign w:val="center"/>
          </w:tcPr>
          <w:p>
            <w:pPr>
              <w:pStyle w:val="TableContents"/>
              <w:bidi w:val="0"/>
              <w:spacing w:before="0" w:after="283"/>
              <w:jc w:val="both"/>
              <w:rPr/>
            </w:pPr>
            <w:r>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(ii)</w:t>
            </w:r>
          </w:p>
        </w:tc>
        <w:tc>
          <w:tcPr>
            <w:tcW w:w="9895" w:type="dxa"/>
            <w:tcBorders/>
            <w:vAlign w:val="center"/>
          </w:tcPr>
          <w:p>
            <w:pPr>
              <w:pStyle w:val="TableContents"/>
              <w:bidi w:val="0"/>
              <w:spacing w:before="0" w:after="283"/>
              <w:jc w:val="both"/>
              <w:rPr/>
            </w:pPr>
            <w:r>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II-8</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Zurich, Switzerland, on August 5, 2026.</w:t>
      </w:r>
    </w:p>
    <w:p>
      <w:pPr>
        <w:pStyle w:val="TextBody"/>
        <w:bidi w:val="0"/>
        <w:spacing w:before="0" w:after="0"/>
        <w:ind w:left="0" w:right="0" w:hanging="0"/>
        <w:jc w:val="both"/>
        <w:rPr>
          <w:caps w:val="false"/>
          <w:smallCaps w:val="false"/>
        </w:rPr>
      </w:pPr>
      <w:r>
        <w:rPr>
          <w:caps w:val="false"/>
          <w:smallCaps w:val="false"/>
        </w:rPr>
        <w:t> </w:t>
      </w:r>
    </w:p>
    <w:tbl>
      <w:tblPr>
        <w:tblW w:w="7335" w:type="dxa"/>
        <w:jc w:val="left"/>
        <w:tblInd w:w="0" w:type="dxa"/>
        <w:tblLayout w:type="fixed"/>
        <w:tblCellMar>
          <w:top w:w="0" w:type="dxa"/>
          <w:left w:w="0" w:type="dxa"/>
          <w:bottom w:w="28" w:type="dxa"/>
          <w:right w:w="0" w:type="dxa"/>
        </w:tblCellMar>
      </w:tblPr>
      <w:tblGrid>
        <w:gridCol w:w="2180"/>
        <w:gridCol w:w="60"/>
        <w:gridCol w:w="3530"/>
        <w:gridCol w:w="60"/>
        <w:gridCol w:w="1505"/>
      </w:tblGrid>
      <w:tr>
        <w:trPr/>
        <w:tc>
          <w:tcPr>
            <w:tcW w:w="2180" w:type="dxa"/>
            <w:tcBorders>
              <w:bottom w:val="single" w:sz="8" w:space="0" w:color="000000"/>
            </w:tcBorders>
            <w:vAlign w:val="center"/>
          </w:tcPr>
          <w:p>
            <w:pPr>
              <w:pStyle w:val="TableContents"/>
              <w:bidi w:val="0"/>
              <w:spacing w:before="0" w:after="283"/>
              <w:jc w:val="left"/>
              <w:rPr>
                <w:b/>
              </w:rPr>
            </w:pPr>
            <w:r>
              <w:rPr>
                <w:b/>
              </w:rPr>
              <w:t>Signature</w:t>
            </w:r>
          </w:p>
        </w:tc>
        <w:tc>
          <w:tcPr>
            <w:tcW w:w="60" w:type="dxa"/>
            <w:tcBorders/>
            <w:tcMar>
              <w:bottom w:w="0" w:type="dxa"/>
            </w:tcMar>
            <w:vAlign w:val="center"/>
          </w:tcPr>
          <w:p>
            <w:pPr>
              <w:pStyle w:val="TableContents"/>
              <w:bidi w:val="0"/>
              <w:spacing w:before="0" w:after="283"/>
              <w:jc w:val="center"/>
              <w:rPr/>
            </w:pPr>
            <w:r>
              <w:rPr/>
              <w:t> </w:t>
            </w:r>
          </w:p>
        </w:tc>
        <w:tc>
          <w:tcPr>
            <w:tcW w:w="3530"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center"/>
              <w:rPr/>
            </w:pPr>
            <w:r>
              <w:rPr/>
              <w:t> </w:t>
            </w:r>
          </w:p>
        </w:tc>
        <w:tc>
          <w:tcPr>
            <w:tcW w:w="1505" w:type="dxa"/>
            <w:tcBorders>
              <w:bottom w:val="single" w:sz="8" w:space="0" w:color="000000"/>
            </w:tcBorders>
            <w:vAlign w:val="center"/>
          </w:tcPr>
          <w:p>
            <w:pPr>
              <w:pStyle w:val="TableContents"/>
              <w:bidi w:val="0"/>
              <w:spacing w:before="0" w:after="283"/>
              <w:jc w:val="center"/>
              <w:rPr>
                <w:b/>
              </w:rPr>
            </w:pPr>
            <w:r>
              <w:rPr>
                <w:b/>
              </w:rPr>
              <w:t>Date</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2180" w:type="dxa"/>
            <w:tcBorders>
              <w:bottom w:val="single" w:sz="8" w:space="0" w:color="000000"/>
            </w:tcBorders>
            <w:vAlign w:val="center"/>
          </w:tcPr>
          <w:p>
            <w:pPr>
              <w:pStyle w:val="TableContents"/>
              <w:bidi w:val="0"/>
              <w:spacing w:before="0" w:after="283"/>
              <w:jc w:val="left"/>
              <w:rPr>
                <w:i/>
              </w:rPr>
            </w:pPr>
            <w:r>
              <w:rPr>
                <w:i/>
              </w:rPr>
              <w:t>/s/ Christoph Antz</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5, 2026</w:t>
            </w:r>
          </w:p>
        </w:tc>
      </w:tr>
      <w:tr>
        <w:trPr/>
        <w:tc>
          <w:tcPr>
            <w:tcW w:w="2180" w:type="dxa"/>
            <w:tcBorders/>
            <w:tcMar>
              <w:bottom w:w="0" w:type="dxa"/>
            </w:tcMar>
            <w:vAlign w:val="center"/>
          </w:tcPr>
          <w:p>
            <w:pPr>
              <w:pStyle w:val="TableContents"/>
              <w:bidi w:val="0"/>
              <w:spacing w:before="0" w:after="283"/>
              <w:jc w:val="left"/>
              <w:rPr/>
            </w:pPr>
            <w:r>
              <w:rPr/>
              <w:t>Name: Christoph Antz</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2" w:name="poa"/>
      <w:bookmarkEnd w:id="22"/>
      <w:r>
        <w:rPr>
          <w:rFonts w:ascii="Times New Roman;Times;Serif" w:hAnsi="Times New Roman;Times;Serif"/>
          <w:b/>
          <w:i w:val="false"/>
          <w:caps w:val="false"/>
          <w:smallCaps w:val="false"/>
          <w:sz w:val="20"/>
        </w:rPr>
        <w:t>POWER OF ATTORNEY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constitutes and appoints Christoph Antz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81"/>
        <w:gridCol w:w="60"/>
        <w:gridCol w:w="4804"/>
        <w:gridCol w:w="60"/>
        <w:gridCol w:w="1500"/>
      </w:tblGrid>
      <w:tr>
        <w:trPr/>
        <w:tc>
          <w:tcPr>
            <w:tcW w:w="3781" w:type="dxa"/>
            <w:tcBorders>
              <w:bottom w:val="single" w:sz="8" w:space="0" w:color="000000"/>
            </w:tcBorders>
            <w:vAlign w:val="center"/>
          </w:tcPr>
          <w:p>
            <w:pPr>
              <w:pStyle w:val="TableContents"/>
              <w:bidi w:val="0"/>
              <w:spacing w:before="0" w:after="283"/>
              <w:jc w:val="left"/>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4804"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500" w:type="dxa"/>
            <w:tcBorders>
              <w:bottom w:val="single" w:sz="8" w:space="0" w:color="000000"/>
            </w:tcBorders>
            <w:vAlign w:val="center"/>
          </w:tcPr>
          <w:p>
            <w:pPr>
              <w:pStyle w:val="TableContents"/>
              <w:bidi w:val="0"/>
              <w:spacing w:before="0" w:after="283"/>
              <w:jc w:val="center"/>
              <w:rPr>
                <w:b/>
              </w:rPr>
            </w:pPr>
            <w:r>
              <w:rPr>
                <w:b/>
              </w:rPr>
              <w:t>Date</w:t>
            </w:r>
          </w:p>
        </w:tc>
      </w:tr>
      <w:tr>
        <w:trPr/>
        <w:tc>
          <w:tcPr>
            <w:tcW w:w="3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bottom w:val="single" w:sz="8" w:space="0" w:color="000000"/>
            </w:tcBorders>
            <w:vAlign w:val="center"/>
          </w:tcPr>
          <w:p>
            <w:pPr>
              <w:pStyle w:val="TableContents"/>
              <w:bidi w:val="0"/>
              <w:spacing w:before="0" w:after="283"/>
              <w:jc w:val="left"/>
              <w:rPr>
                <w:i/>
              </w:rPr>
            </w:pPr>
            <w:r>
              <w:rPr>
                <w:i/>
              </w:rPr>
              <w:t>/s/ Christoph Antz</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August 5, 2026</w:t>
            </w:r>
          </w:p>
        </w:tc>
      </w:tr>
      <w:tr>
        <w:trPr/>
        <w:tc>
          <w:tcPr>
            <w:tcW w:w="3781" w:type="dxa"/>
            <w:tcBorders/>
            <w:tcMar>
              <w:bottom w:w="0" w:type="dxa"/>
            </w:tcMar>
            <w:vAlign w:val="center"/>
          </w:tcPr>
          <w:p>
            <w:pPr>
              <w:pStyle w:val="TableContents"/>
              <w:bidi w:val="0"/>
              <w:spacing w:before="0" w:after="283"/>
              <w:jc w:val="left"/>
              <w:rPr/>
            </w:pPr>
            <w:r>
              <w:rPr/>
              <w:t>Name: Christoph Antz</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bottom w:val="single" w:sz="8" w:space="0" w:color="000000"/>
            </w:tcBorders>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August 5, 2026</w:t>
            </w:r>
          </w:p>
        </w:tc>
      </w:tr>
      <w:tr>
        <w:trPr/>
        <w:tc>
          <w:tcPr>
            <w:tcW w:w="3781" w:type="dxa"/>
            <w:tcBorders/>
            <w:tcMar>
              <w:bottom w:w="0" w:type="dxa"/>
            </w:tcMar>
            <w:vAlign w:val="center"/>
          </w:tcPr>
          <w:p>
            <w:pPr>
              <w:pStyle w:val="TableContents"/>
              <w:bidi w:val="0"/>
              <w:spacing w:before="0" w:after="283"/>
              <w:jc w:val="left"/>
              <w:rPr/>
            </w:pPr>
            <w:r>
              <w:rPr/>
              <w:t>Name: Oliver Baumann</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bottom w:val="single" w:sz="8" w:space="0" w:color="000000"/>
            </w:tcBorders>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Interim Chief Financial Officer (Principal Financial</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August 5, 2026</w:t>
            </w:r>
          </w:p>
        </w:tc>
      </w:tr>
      <w:tr>
        <w:trPr/>
        <w:tc>
          <w:tcPr>
            <w:tcW w:w="3781" w:type="dxa"/>
            <w:tcBorders/>
            <w:tcMar>
              <w:bottom w:w="0" w:type="dxa"/>
            </w:tcMar>
            <w:vAlign w:val="center"/>
          </w:tcPr>
          <w:p>
            <w:pPr>
              <w:pStyle w:val="TableContents"/>
              <w:bidi w:val="0"/>
              <w:spacing w:before="0" w:after="283"/>
              <w:jc w:val="left"/>
              <w:rPr/>
            </w:pPr>
            <w:r>
              <w:rPr/>
              <w:t>Name: Carl von Halem</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bottom w:val="single" w:sz="8" w:space="0" w:color="000000"/>
            </w:tcBorders>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August 5, 2026</w:t>
            </w:r>
          </w:p>
        </w:tc>
      </w:tr>
      <w:tr>
        <w:trPr/>
        <w:tc>
          <w:tcPr>
            <w:tcW w:w="3781" w:type="dxa"/>
            <w:tcBorders/>
            <w:tcMar>
              <w:bottom w:w="0" w:type="dxa"/>
            </w:tcMar>
            <w:vAlign w:val="center"/>
          </w:tcPr>
          <w:p>
            <w:pPr>
              <w:pStyle w:val="TableContents"/>
              <w:bidi w:val="0"/>
              <w:spacing w:before="0" w:after="283"/>
              <w:jc w:val="left"/>
              <w:rPr/>
            </w:pPr>
            <w:r>
              <w:rPr/>
              <w:t>Name: Marc Grüninger</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bottom w:val="single" w:sz="8" w:space="0" w:color="000000"/>
            </w:tcBorders>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August 5, 2026</w:t>
            </w:r>
          </w:p>
        </w:tc>
      </w:tr>
      <w:tr>
        <w:trPr/>
        <w:tc>
          <w:tcPr>
            <w:tcW w:w="3781" w:type="dxa"/>
            <w:tcBorders/>
            <w:tcMar>
              <w:bottom w:w="0" w:type="dxa"/>
            </w:tcMar>
            <w:vAlign w:val="center"/>
          </w:tcPr>
          <w:p>
            <w:pPr>
              <w:pStyle w:val="TableContents"/>
              <w:bidi w:val="0"/>
              <w:spacing w:before="0" w:after="283"/>
              <w:jc w:val="left"/>
              <w:rPr/>
            </w:pPr>
            <w:r>
              <w:rPr/>
              <w:t>Name: Warren Hosseinion</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bottom w:val="single" w:sz="8" w:space="0" w:color="000000"/>
            </w:tcBorders>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August 5, 2026</w:t>
            </w:r>
          </w:p>
        </w:tc>
      </w:tr>
      <w:tr>
        <w:trPr/>
        <w:tc>
          <w:tcPr>
            <w:tcW w:w="3781" w:type="dxa"/>
            <w:tcBorders/>
            <w:tcMar>
              <w:bottom w:w="0" w:type="dxa"/>
            </w:tcMar>
            <w:vAlign w:val="center"/>
          </w:tcPr>
          <w:p>
            <w:pPr>
              <w:pStyle w:val="TableContents"/>
              <w:bidi w:val="0"/>
              <w:spacing w:before="0" w:after="283"/>
              <w:jc w:val="left"/>
              <w:rPr/>
            </w:pPr>
            <w:r>
              <w:rPr/>
              <w:t>Name: Christoph Ziegler</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r>
        <w:trPr/>
        <w:tc>
          <w:tcPr>
            <w:tcW w:w="3781" w:type="dxa"/>
            <w:tcBorders>
              <w:bottom w:val="single" w:sz="8" w:space="0" w:color="000000"/>
            </w:tcBorders>
            <w:vAlign w:val="center"/>
          </w:tcPr>
          <w:p>
            <w:pPr>
              <w:pStyle w:val="TableContents"/>
              <w:bidi w:val="0"/>
              <w:spacing w:before="0" w:after="283"/>
              <w:jc w:val="left"/>
              <w:rPr/>
            </w:pPr>
            <w:r>
              <w:rPr/>
              <w:t xml:space="preserve">*By: </w:t>
            </w:r>
            <w:r>
              <w:rPr>
                <w:i/>
              </w:rPr>
              <w:t>/s/ Christoph Antz</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August 5, 2026</w:t>
            </w:r>
          </w:p>
        </w:tc>
      </w:tr>
      <w:tr>
        <w:trPr/>
        <w:tc>
          <w:tcPr>
            <w:tcW w:w="3781" w:type="dxa"/>
            <w:tcBorders/>
            <w:tcMar>
              <w:bottom w:w="0" w:type="dxa"/>
            </w:tcMar>
            <w:vAlign w:val="center"/>
          </w:tcPr>
          <w:p>
            <w:pPr>
              <w:pStyle w:val="TableContents"/>
              <w:bidi w:val="0"/>
              <w:spacing w:before="0" w:after="283"/>
              <w:jc w:val="left"/>
              <w:rPr/>
            </w:pPr>
            <w:r>
              <w:rPr/>
              <w:t>Name: Christoph Antz, Attorney-in-fact</w:t>
            </w:r>
          </w:p>
        </w:tc>
        <w:tc>
          <w:tcPr>
            <w:tcW w:w="60" w:type="dxa"/>
            <w:tcBorders/>
            <w:tcMar>
              <w:bottom w:w="0" w:type="dxa"/>
            </w:tcMar>
            <w:vAlign w:val="center"/>
          </w:tcPr>
          <w:p>
            <w:pPr>
              <w:pStyle w:val="TableContents"/>
              <w:bidi w:val="0"/>
              <w:spacing w:before="0" w:after="283"/>
              <w:jc w:val="left"/>
              <w:rPr/>
            </w:pPr>
            <w:r>
              <w:rPr/>
              <w:t> </w:t>
            </w:r>
          </w:p>
        </w:tc>
        <w:tc>
          <w:tcPr>
            <w:tcW w:w="4804"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00" w:type="dxa"/>
            <w:tcBorders/>
            <w:tcMar>
              <w:bottom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II-9</w:t>
      </w:r>
    </w:p>
    <w:p>
      <w:pPr>
        <w:pStyle w:val="TextBody"/>
        <w:bidi w:val="0"/>
        <w:spacing w:before="120" w:after="12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6(a) of the Securities Act of 1933, the undersigned has signed this Registration Statement, in the capacity of the duly authorized representative of the Registrant in the United States, on August 5, 2026.</w:t>
      </w:r>
    </w:p>
    <w:p>
      <w:pPr>
        <w:pStyle w:val="TextBody"/>
        <w:bidi w:val="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665"/>
        <w:gridCol w:w="4970"/>
        <w:gridCol w:w="75"/>
      </w:tblGrid>
      <w:tr>
        <w:trPr/>
        <w:tc>
          <w:tcPr>
            <w:tcW w:w="5635" w:type="dxa"/>
            <w:gridSpan w:val="2"/>
            <w:tcBorders/>
            <w:vAlign w:val="center"/>
          </w:tcPr>
          <w:p>
            <w:pPr>
              <w:pStyle w:val="TableContents"/>
              <w:bidi w:val="0"/>
              <w:spacing w:before="0" w:after="283"/>
              <w:jc w:val="left"/>
              <w:rPr>
                <w:b/>
              </w:rPr>
            </w:pPr>
            <w:r>
              <w:rPr>
                <w:b/>
              </w:rPr>
              <w:t>Cogency Global Inc.</w:t>
            </w:r>
          </w:p>
        </w:tc>
        <w:tc>
          <w:tcPr>
            <w:tcW w:w="75" w:type="dxa"/>
            <w:tcBorders/>
            <w:vAlign w:val="center"/>
          </w:tcPr>
          <w:p>
            <w:pPr>
              <w:pStyle w:val="TableContents"/>
              <w:bidi w:val="0"/>
              <w:spacing w:before="0" w:after="283"/>
              <w:jc w:val="left"/>
              <w:rPr/>
            </w:pPr>
            <w:r>
              <w:rPr/>
              <w:t> </w:t>
            </w:r>
          </w:p>
        </w:tc>
      </w:tr>
      <w:tr>
        <w:trPr/>
        <w:tc>
          <w:tcPr>
            <w:tcW w:w="5635" w:type="dxa"/>
            <w:gridSpan w:val="2"/>
            <w:tcBorders/>
            <w:vAlign w:val="center"/>
          </w:tcPr>
          <w:p>
            <w:pPr>
              <w:pStyle w:val="TableContents"/>
              <w:bidi w:val="0"/>
              <w:spacing w:before="0" w:after="283"/>
              <w:jc w:val="left"/>
              <w:rPr/>
            </w:pPr>
            <w:r>
              <w:rPr/>
              <w:t>as authorized representative for Veraxa Biotech AG</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4970" w:type="dxa"/>
            <w:tcBorders>
              <w:bottom w:val="single" w:sz="8" w:space="0" w:color="000000"/>
            </w:tcBorders>
            <w:tcMar>
              <w:bottom w:w="28" w:type="dxa"/>
            </w:tcMar>
            <w:vAlign w:val="center"/>
          </w:tcPr>
          <w:p>
            <w:pPr>
              <w:pStyle w:val="TableContents"/>
              <w:bidi w:val="0"/>
              <w:spacing w:before="0" w:after="283"/>
              <w:jc w:val="left"/>
              <w:rPr>
                <w:i/>
              </w:rPr>
            </w:pPr>
            <w:r>
              <w:rPr>
                <w:i/>
              </w:rPr>
              <w:t>/s/ Colleen A. De Vries</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4970" w:type="dxa"/>
            <w:tcBorders/>
            <w:vAlign w:val="center"/>
          </w:tcPr>
          <w:p>
            <w:pPr>
              <w:pStyle w:val="TableContents"/>
              <w:bidi w:val="0"/>
              <w:spacing w:before="0" w:after="283"/>
              <w:jc w:val="left"/>
              <w:rPr/>
            </w:pPr>
            <w:r>
              <w:rPr/>
              <w:t>Colleen A. De Vries</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4970" w:type="dxa"/>
            <w:tcBorders/>
            <w:vAlign w:val="center"/>
          </w:tcPr>
          <w:p>
            <w:pPr>
              <w:pStyle w:val="TableContents"/>
              <w:bidi w:val="0"/>
              <w:spacing w:before="0" w:after="283"/>
              <w:jc w:val="left"/>
              <w:rPr/>
            </w:pPr>
            <w:r>
              <w:rPr/>
              <w:t>Sr. Vice President on behalf of Cogency Global Inc.</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II-10</w:t>
      </w:r>
    </w:p>
    <w:p>
      <w:pPr>
        <w:pStyle w:val="TextBody"/>
        <w:bidi w:val="0"/>
        <w:spacing w:before="0" w:after="0"/>
        <w:jc w:val="both"/>
        <w:rPr>
          <w:caps w:val="false"/>
          <w:smallCaps w:val="false"/>
        </w:rPr>
      </w:pPr>
      <w:bookmarkStart w:id="23" w:name="veraxabiotech_ex5-1.htm"/>
      <w:bookmarkStart w:id="24" w:name="ksveraxabiotech_ex51"/>
      <w:bookmarkEnd w:id="23"/>
      <w:bookmarkEnd w:id="2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both"/>
        <w:rPr>
          <w:caps w:val="false"/>
          <w:smallCaps w:val="false"/>
        </w:rPr>
      </w:pPr>
      <w:r>
        <w:rPr>
          <w:caps w:val="false"/>
          <w:smallCaps w:val="false"/>
        </w:rPr>
        <w:t> </w:t>
      </w:r>
    </w:p>
    <w:tbl>
      <w:tblPr>
        <w:tblW w:w="8015" w:type="dxa"/>
        <w:jc w:val="left"/>
        <w:tblInd w:w="0" w:type="dxa"/>
        <w:tblLayout w:type="fixed"/>
        <w:tblCellMar>
          <w:top w:w="0" w:type="dxa"/>
          <w:left w:w="0" w:type="dxa"/>
          <w:bottom w:w="0" w:type="dxa"/>
          <w:right w:w="0" w:type="dxa"/>
        </w:tblCellMar>
      </w:tblPr>
      <w:tblGrid>
        <w:gridCol w:w="5325"/>
        <w:gridCol w:w="2690"/>
      </w:tblGrid>
      <w:tr>
        <w:trPr/>
        <w:tc>
          <w:tcPr>
            <w:tcW w:w="5325" w:type="dxa"/>
            <w:tcBorders/>
            <w:vAlign w:val="center"/>
          </w:tcPr>
          <w:p>
            <w:pPr>
              <w:pStyle w:val="TableContents"/>
              <w:bidi w:val="0"/>
              <w:jc w:val="left"/>
              <w:rPr/>
            </w:pPr>
            <w:r>
              <w:rPr/>
              <w:drawing>
                <wp:inline distT="0" distB="0" distL="0" distR="0">
                  <wp:extent cx="333375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7"/>
                          <a:stretch>
                            <a:fillRect/>
                          </a:stretch>
                        </pic:blipFill>
                        <pic:spPr bwMode="auto">
                          <a:xfrm>
                            <a:off x="0" y="0"/>
                            <a:ext cx="3333750" cy="257175"/>
                          </a:xfrm>
                          <a:prstGeom prst="rect">
                            <a:avLst/>
                          </a:prstGeom>
                        </pic:spPr>
                      </pic:pic>
                    </a:graphicData>
                  </a:graphic>
                </wp:inline>
              </w:drawing>
            </w:r>
            <w:r>
              <w:rPr/>
              <w:t xml:space="preserve">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w:t>
              <w:br/>
              <w:t>Talacker 35</w:t>
              <w:br/>
              <w:t>8001 Zurich</w:t>
              <w:br/>
              <w:t>Switzerland</w:t>
            </w:r>
          </w:p>
        </w:tc>
        <w:tc>
          <w:tcPr>
            <w:tcW w:w="26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Walder Wyss Ltd.</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Seefeldstrasse 123</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P.O. Box</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8034 Zurich</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Switzerland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Telephone +41 58 658 58 58</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Fax +41 58 658 59 59</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www.walderwyss.com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Thiemo Sturny</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Partner</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Dr. iur., LL.M., Attorney at Law</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Direct +41 58 658 52 92</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thiemo.sturny@walderwyss.com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Marius Breier</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Partner</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 HSG in Accounting and Finance</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Certified Tax Expert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Direct +41 58 658 56 58</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marius.breier@walderwyss.com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Zurich, August 5,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Veraxa Biotech AG – Registration Statement on Form F-1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Madams, dear Sirs,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special Swiss legal counsel to Veraxa Biotech AG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 stock corporation incorporated under the laws of Switzerland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in connection with the filing of a Registration Statement on Form F-1, filed on or around the date hereof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including the accompanying prospectus set forth therein,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xml:space="preserve">) for the purpose of registering under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the resale, from time to time, of up to 25,000,000 common shares of the Company, par value CHF 100/11,325 per share (the </w:t>
      </w:r>
      <w:r>
        <w:rPr>
          <w:rFonts w:ascii="Times New Roman;Times;Serif" w:hAnsi="Times New Roman;Times;Serif"/>
          <w:b/>
          <w:i w:val="false"/>
          <w:caps w:val="false"/>
          <w:smallCaps w:val="false"/>
          <w:sz w:val="20"/>
        </w:rPr>
        <w:t>Purchase Shares</w:t>
      </w:r>
      <w:r>
        <w:rPr>
          <w:rFonts w:ascii="Times New Roman;Times;Serif" w:hAnsi="Times New Roman;Times;Serif"/>
          <w:b w:val="false"/>
          <w:i w:val="false"/>
          <w:caps w:val="false"/>
          <w:smallCaps w:val="false"/>
          <w:sz w:val="20"/>
        </w:rPr>
        <w:t>), by Lincoln Park Capital Fund, LLC (</w:t>
      </w:r>
      <w:r>
        <w:rPr>
          <w:rFonts w:ascii="Times New Roman;Times;Serif" w:hAnsi="Times New Roman;Times;Serif"/>
          <w:b/>
          <w:i w:val="false"/>
          <w:caps w:val="false"/>
          <w:smallCaps w:val="false"/>
          <w:sz w:val="20"/>
        </w:rPr>
        <w:t>Lincoln Park</w:t>
      </w:r>
      <w:r>
        <w:rPr>
          <w:rFonts w:ascii="Times New Roman;Times;Serif" w:hAnsi="Times New Roman;Times;Serif"/>
          <w:b w:val="false"/>
          <w:i w:val="false"/>
          <w:caps w:val="false"/>
          <w:smallCaps w:val="false"/>
          <w:sz w:val="20"/>
        </w:rPr>
        <w:t xml:space="preserve">) pursuant to that certain purchase agreement between the Company and Lincoln Park, dated as of May 27, 2026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As such counsel, we have been requested to give our opinion as to certain legal matters of Swiss law.</w:t>
      </w:r>
    </w:p>
    <w:p>
      <w:pPr>
        <w:pStyle w:val="TextBody"/>
        <w:bidi w:val="0"/>
        <w:spacing w:before="0" w:after="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23"/>
        <w:gridCol w:w="170"/>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66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 and limitation of opinion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strictly confined to matters of Swiss law as in force at the date hereof and as it is presently applied by the Swiss Federal Supreme Court (</w:t>
      </w:r>
      <w:r>
        <w:rPr>
          <w:rFonts w:ascii="Times New Roman;Times;Serif" w:hAnsi="Times New Roman;Times;Serif"/>
          <w:b w:val="false"/>
          <w:i/>
          <w:caps w:val="false"/>
          <w:smallCaps w:val="false"/>
          <w:sz w:val="20"/>
        </w:rPr>
        <w:t>Schweizerisches Bundesgericht</w:t>
      </w:r>
      <w:r>
        <w:rPr>
          <w:rFonts w:ascii="Times New Roman;Times;Serif" w:hAnsi="Times New Roman;Times;Serif"/>
          <w:b w:val="false"/>
          <w:i w:val="false"/>
          <w:caps w:val="false"/>
          <w:smallCaps w:val="false"/>
          <w:sz w:val="20"/>
        </w:rPr>
        <w:t>) as published in its official collection (</w:t>
      </w:r>
      <w:r>
        <w:rPr>
          <w:rFonts w:ascii="Times New Roman;Times;Serif" w:hAnsi="Times New Roman;Times;Serif"/>
          <w:b w:val="false"/>
          <w:i/>
          <w:caps w:val="false"/>
          <w:smallCaps w:val="false"/>
          <w:sz w:val="20"/>
        </w:rPr>
        <w:t>amtliche Sammlung</w:t>
      </w:r>
      <w:r>
        <w:rPr>
          <w:rFonts w:ascii="Times New Roman;Times;Serif" w:hAnsi="Times New Roman;Times;Serif"/>
          <w:b w:val="false"/>
          <w:i w:val="false"/>
          <w:caps w:val="false"/>
          <w:smallCaps w:val="false"/>
          <w:sz w:val="20"/>
        </w:rPr>
        <w:t>). Such law and its interpretation are subject to change. In the absence of explicit statutory law or case law established by such court, we base our opinion solely on our independent professional judgment and it cannot be excluded that any Swiss court would apply a different interpretation. No opinion is expressed as to the laws of any country or jurisdiction, other than Switzerland.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strictly limited to the Documents (as defined below) and the specific matters stated herein and is not to be read as extending, by implication or otherwise, to any agreement or document referred to in any of the Documents or any other matter.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opinion, we have not conducted any due diligence, verification or similar investigation as to any matters of facts or as to the truth, accuracy and completeness of the representations and warranties made in the Documents, and we do not express or imply any opinions thereon.</w:t>
      </w:r>
    </w:p>
    <w:p>
      <w:pPr>
        <w:pStyle w:val="TextBody"/>
        <w:bidi w:val="0"/>
        <w:spacing w:before="0" w:after="0"/>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970"/>
        <w:gridCol w:w="935"/>
      </w:tblGrid>
      <w:tr>
        <w:trPr/>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Attorneys admitted in Switzerland or in a EU/EFTA state are registered with the attorneys’ registry</w:t>
            </w:r>
          </w:p>
        </w:tc>
        <w:tc>
          <w:tcPr>
            <w:tcW w:w="9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4</w:t>
            </w:r>
          </w:p>
        </w:tc>
      </w:tr>
    </w:tbl>
    <w:tbl>
      <w:tblPr>
        <w:tblW w:w="4370" w:type="dxa"/>
        <w:jc w:val="left"/>
        <w:tblInd w:w="0" w:type="dxa"/>
        <w:tblLayout w:type="fixed"/>
        <w:tblCellMar>
          <w:top w:w="0" w:type="dxa"/>
          <w:left w:w="0" w:type="dxa"/>
          <w:bottom w:w="0" w:type="dxa"/>
          <w:right w:w="0" w:type="dxa"/>
        </w:tblCellMar>
      </w:tblPr>
      <w:tblGrid>
        <w:gridCol w:w="2265"/>
        <w:gridCol w:w="2105"/>
      </w:tblGrid>
      <w:tr>
        <w:trPr/>
        <w:tc>
          <w:tcPr>
            <w:tcW w:w="2265" w:type="dxa"/>
            <w:tcBorders/>
            <w:vAlign w:val="center"/>
          </w:tcPr>
          <w:p>
            <w:pPr>
              <w:pStyle w:val="TableContents"/>
              <w:bidi w:val="0"/>
              <w:spacing w:before="0" w:after="283"/>
              <w:jc w:val="left"/>
              <w:rPr/>
            </w:pPr>
            <w:r>
              <w:rPr/>
              <w:drawing>
                <wp:inline distT="0" distB="0" distL="0" distR="0">
                  <wp:extent cx="1428750"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8"/>
                          <a:stretch>
                            <a:fillRect/>
                          </a:stretch>
                        </pic:blipFill>
                        <pic:spPr bwMode="auto">
                          <a:xfrm>
                            <a:off x="0" y="0"/>
                            <a:ext cx="1428750" cy="257175"/>
                          </a:xfrm>
                          <a:prstGeom prst="rect">
                            <a:avLst/>
                          </a:prstGeom>
                        </pic:spPr>
                      </pic:pic>
                    </a:graphicData>
                  </a:graphic>
                </wp:inline>
              </w:drawing>
            </w:r>
          </w:p>
        </w:tc>
        <w:tc>
          <w:tcPr>
            <w:tcW w:w="2105" w:type="dxa"/>
            <w:tcBorders/>
            <w:vAlign w:val="center"/>
          </w:tcPr>
          <w:p>
            <w:pPr>
              <w:pStyle w:val="TableContents"/>
              <w:bidi w:val="0"/>
              <w:spacing w:before="0" w:after="283"/>
              <w:jc w:val="right"/>
              <w:rPr>
                <w:b/>
              </w:rPr>
            </w:pPr>
            <w:r>
              <w:rPr>
                <w:b/>
              </w:rPr>
              <w:t>Swiss Legal Opinion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23"/>
        <w:gridCol w:w="170"/>
        <w:gridCol w:w="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5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this opinion, we have only examined the following documents (collectively,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23"/>
        <w:gridCol w:w="275"/>
        <w:gridCol w:w="701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010" w:type="dxa"/>
            <w:tcBorders/>
            <w:vAlign w:val="center"/>
          </w:tcPr>
          <w:p>
            <w:pPr>
              <w:pStyle w:val="TableContents"/>
              <w:bidi w:val="0"/>
              <w:spacing w:before="0" w:after="283"/>
              <w:jc w:val="both"/>
              <w:rPr/>
            </w:pPr>
            <w:r>
              <w:rPr/>
              <w:t>a scanned copy (received by e-mail) of the executed Purchase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a scanned copy (received by e-mail) of the Underwriting and Option Agreement between the Company and XRNA Biotech GmbH dated on or around 24 July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both"/>
              <w:rPr/>
            </w:pPr>
            <w:r>
              <w:rPr/>
              <w:t>a scanned copy (received by e-mail) of the Contribution Agreement between Company and XRNA Biotech GmbH dated on or around 24 July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54"/>
        <w:gridCol w:w="9928"/>
      </w:tblGrid>
      <w:tr>
        <w:trPr/>
        <w:tc>
          <w:tcPr>
            <w:tcW w:w="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both"/>
              <w:rPr/>
            </w:pPr>
            <w:r>
              <w:rPr/>
              <w:t xml:space="preserve">a scanned copy (received by e-mail) of the Share Purchase Agreement between the Company and XRNA Biotech GmbH dated on or around 24 July 2026 (2(a) to 2(d), the </w:t>
            </w:r>
            <w:r>
              <w:rPr>
                <w:b/>
              </w:rPr>
              <w:t>Agreements</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(e)</w:t>
            </w:r>
          </w:p>
        </w:tc>
        <w:tc>
          <w:tcPr>
            <w:tcW w:w="9949" w:type="dxa"/>
            <w:tcBorders/>
            <w:vAlign w:val="center"/>
          </w:tcPr>
          <w:p>
            <w:pPr>
              <w:pStyle w:val="TableContents"/>
              <w:bidi w:val="0"/>
              <w:spacing w:before="0" w:after="283"/>
              <w:jc w:val="both"/>
              <w:rPr/>
            </w:pPr>
            <w:r>
              <w:rPr/>
              <w:t xml:space="preserve">a scanned copy (received by e-mail) of the minutes of a circular resolution of the board of directors of the Company dated on or around 24 July 2026, approving i.a. the entering into of the Agreements (the </w:t>
            </w:r>
            <w:r>
              <w:rPr>
                <w:b/>
              </w:rPr>
              <w:t>BoD Resolution</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23"/>
        <w:gridCol w:w="9959"/>
      </w:tblGrid>
      <w:tr>
        <w:trPr/>
        <w:tc>
          <w:tcPr>
            <w:tcW w:w="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(f)</w:t>
            </w:r>
          </w:p>
        </w:tc>
        <w:tc>
          <w:tcPr>
            <w:tcW w:w="9959" w:type="dxa"/>
            <w:tcBorders/>
            <w:vAlign w:val="center"/>
          </w:tcPr>
          <w:p>
            <w:pPr>
              <w:pStyle w:val="TableContents"/>
              <w:bidi w:val="0"/>
              <w:spacing w:before="0" w:after="283"/>
              <w:jc w:val="both"/>
              <w:rPr/>
            </w:pPr>
            <w:r>
              <w:rPr/>
              <w:t xml:space="preserve">an copy of the notarized resolutions of the Company’s extraordinary shareholders’ meeting held on 27 February 2026 (the </w:t>
            </w:r>
            <w:r>
              <w:rPr>
                <w:b/>
              </w:rPr>
              <w:t>EGM Resolutions</w:t>
            </w:r>
            <w:r>
              <w:rPr/>
              <w:t>);</w:t>
            </w:r>
          </w:p>
        </w:tc>
      </w:tr>
    </w:tbl>
    <w:p>
      <w:pPr>
        <w:pStyle w:val="TextBody"/>
        <w:bidi w:val="0"/>
        <w:spacing w:before="0" w:after="0"/>
        <w:jc w:val="left"/>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23"/>
        <w:gridCol w:w="29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9665" w:type="dxa"/>
            <w:tcBorders/>
            <w:vAlign w:val="center"/>
          </w:tcPr>
          <w:p>
            <w:pPr>
              <w:pStyle w:val="TableContents"/>
              <w:bidi w:val="0"/>
              <w:spacing w:before="0" w:after="283"/>
              <w:jc w:val="both"/>
              <w:rPr/>
            </w:pPr>
            <w:r>
              <w:rPr/>
              <w:t xml:space="preserve">an electronic copy of the articles of association of the Company dated 24 July 2026 (the </w:t>
            </w:r>
            <w:r>
              <w:rPr>
                <w:b/>
              </w:rPr>
              <w:t>Articles</w:t>
            </w:r>
            <w:r>
              <w:rPr/>
              <w: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63"/>
        <w:gridCol w:w="9919"/>
      </w:tblGrid>
      <w:tr>
        <w:trPr/>
        <w:tc>
          <w:tcPr>
            <w:tcW w:w="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(h)</w:t>
            </w:r>
          </w:p>
        </w:tc>
        <w:tc>
          <w:tcPr>
            <w:tcW w:w="9919" w:type="dxa"/>
            <w:tcBorders/>
            <w:vAlign w:val="center"/>
          </w:tcPr>
          <w:p>
            <w:pPr>
              <w:pStyle w:val="TableContents"/>
              <w:bidi w:val="0"/>
              <w:spacing w:before="0" w:after="283"/>
              <w:jc w:val="both"/>
              <w:rPr/>
            </w:pPr>
            <w:r>
              <w:rPr/>
              <w:t xml:space="preserve">an electronic copy of the excerpt from the commercial register of the Canton of Zurich in respect of the Company dated as of the date hereof (the </w:t>
            </w:r>
            <w:r>
              <w:rPr>
                <w:b/>
              </w:rPr>
              <w:t>Excerpt</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documents, other than the Documents, have been reviewed by us in connection with this opinion.</w:t>
      </w:r>
    </w:p>
    <w:p>
      <w:pPr>
        <w:pStyle w:val="TextBody"/>
        <w:bidi w:val="0"/>
        <w:spacing w:before="0" w:after="0"/>
        <w:ind w:left="1080" w:right="0" w:hanging="0"/>
        <w:jc w:val="both"/>
        <w:rPr>
          <w:caps w:val="false"/>
          <w:smallCaps w:val="false"/>
        </w:rPr>
      </w:pPr>
      <w:r>
        <w:rPr>
          <w:caps w:val="false"/>
          <w:smallCaps w:val="false"/>
        </w:rPr>
        <w:t> </w:t>
      </w:r>
    </w:p>
    <w:tbl>
      <w:tblPr>
        <w:tblW w:w="1278" w:type="dxa"/>
        <w:jc w:val="left"/>
        <w:tblInd w:w="0" w:type="dxa"/>
        <w:tblLayout w:type="fixed"/>
        <w:tblCellMar>
          <w:top w:w="0" w:type="dxa"/>
          <w:left w:w="0" w:type="dxa"/>
          <w:bottom w:w="0" w:type="dxa"/>
          <w:right w:w="0" w:type="dxa"/>
        </w:tblCellMar>
      </w:tblPr>
      <w:tblGrid>
        <w:gridCol w:w="23"/>
        <w:gridCol w:w="170"/>
        <w:gridCol w:w="10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85"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opinion, we have assumed that: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submitted to us as originals are authentic and complete, and all Documents submitted to us as copies of originals (including, without limitation, certified copies, photocopies, fax, pdf or scanned copies) are complete and conform to the original documents;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signatures on the Documents submitted to us are genuine and have been provided by the persons as indicated in the context of the respective signatures and any electronic signature on any Document has been inalterably affixed thereto by or with the specific authorisation of the individual to whom such electronic signature belongs and such individual has saved and submitted such Document as so electronically signed in such a manner so as to prevent removal or other alteration of such signature;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the Documents (in particular, without limitation, in the Excerpt and the Articles) is true, correct, complete and up to date and there are no facts outstanding or matters resolved that are not reflected in the Documents;</w:t>
            </w:r>
          </w:p>
        </w:tc>
      </w:tr>
    </w:tbl>
    <w:p>
      <w:pPr>
        <w:pStyle w:val="TextBody"/>
        <w:bidi w:val="0"/>
        <w:spacing w:before="0" w:after="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510"/>
        <w:gridCol w:w="935"/>
      </w:tblGrid>
      <w:tr>
        <w:trPr/>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Registration Statement</w:t>
            </w:r>
          </w:p>
        </w:tc>
        <w:tc>
          <w:tcPr>
            <w:tcW w:w="9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4</w:t>
            </w:r>
          </w:p>
        </w:tc>
      </w:tr>
    </w:tbl>
    <w:tbl>
      <w:tblPr>
        <w:tblW w:w="4370" w:type="dxa"/>
        <w:jc w:val="left"/>
        <w:tblInd w:w="0" w:type="dxa"/>
        <w:tblLayout w:type="fixed"/>
        <w:tblCellMar>
          <w:top w:w="0" w:type="dxa"/>
          <w:left w:w="0" w:type="dxa"/>
          <w:bottom w:w="0" w:type="dxa"/>
          <w:right w:w="0" w:type="dxa"/>
        </w:tblCellMar>
      </w:tblPr>
      <w:tblGrid>
        <w:gridCol w:w="2265"/>
        <w:gridCol w:w="2105"/>
      </w:tblGrid>
      <w:tr>
        <w:trPr/>
        <w:tc>
          <w:tcPr>
            <w:tcW w:w="2265" w:type="dxa"/>
            <w:tcBorders/>
            <w:vAlign w:val="center"/>
          </w:tcPr>
          <w:p>
            <w:pPr>
              <w:pStyle w:val="TableContents"/>
              <w:bidi w:val="0"/>
              <w:spacing w:before="0" w:after="283"/>
              <w:jc w:val="left"/>
              <w:rPr/>
            </w:pPr>
            <w:r>
              <w:rPr/>
              <w:drawing>
                <wp:inline distT="0" distB="0" distL="0" distR="0">
                  <wp:extent cx="1428750" cy="257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9"/>
                          <a:stretch>
                            <a:fillRect/>
                          </a:stretch>
                        </pic:blipFill>
                        <pic:spPr bwMode="auto">
                          <a:xfrm>
                            <a:off x="0" y="0"/>
                            <a:ext cx="1428750" cy="257175"/>
                          </a:xfrm>
                          <a:prstGeom prst="rect">
                            <a:avLst/>
                          </a:prstGeom>
                        </pic:spPr>
                      </pic:pic>
                    </a:graphicData>
                  </a:graphic>
                </wp:inline>
              </w:drawing>
            </w:r>
          </w:p>
        </w:tc>
        <w:tc>
          <w:tcPr>
            <w:tcW w:w="2105" w:type="dxa"/>
            <w:tcBorders/>
            <w:vAlign w:val="center"/>
          </w:tcPr>
          <w:p>
            <w:pPr>
              <w:pStyle w:val="TableContents"/>
              <w:bidi w:val="0"/>
              <w:spacing w:before="0" w:after="283"/>
              <w:jc w:val="right"/>
              <w:rPr>
                <w:b/>
              </w:rPr>
            </w:pPr>
            <w:r>
              <w:rPr>
                <w:b/>
              </w:rPr>
              <w:t>Swiss Legal Opinion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relevant for the purposes of this opinion and except as expressly opined upon herein, all statements made and the representations and warranties given in the Documents are and will be at all relevant times true and accurate;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74"/>
        <w:gridCol w:w="9908"/>
      </w:tblGrid>
      <w:tr>
        <w:trPr/>
        <w:tc>
          <w:tcPr>
            <w:tcW w:w="2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both"/>
              <w:rPr/>
            </w:pPr>
            <w:r>
              <w:rPr/>
              <w:t>(e)</w:t>
            </w:r>
          </w:p>
        </w:tc>
        <w:tc>
          <w:tcPr>
            <w:tcW w:w="9908" w:type="dxa"/>
            <w:tcBorders/>
            <w:vAlign w:val="center"/>
          </w:tcPr>
          <w:p>
            <w:pPr>
              <w:pStyle w:val="TableContents"/>
              <w:bidi w:val="0"/>
              <w:spacing w:before="0" w:after="283"/>
              <w:jc w:val="both"/>
              <w:rPr/>
            </w:pPr>
            <w:r>
              <w:rPr/>
              <w:t>The BoD Resolution and the EGM Resolution have each been duly resolved in a meeting duly convened;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both"/>
              <w:rPr/>
            </w:pPr>
            <w:r>
              <w:rPr/>
              <w:t>(f)</w:t>
            </w:r>
          </w:p>
        </w:tc>
        <w:tc>
          <w:tcPr>
            <w:tcW w:w="9957" w:type="dxa"/>
            <w:tcBorders/>
            <w:vAlign w:val="center"/>
          </w:tcPr>
          <w:p>
            <w:pPr>
              <w:pStyle w:val="TableContents"/>
              <w:bidi w:val="0"/>
              <w:spacing w:before="0" w:after="283"/>
              <w:jc w:val="both"/>
              <w:rPr/>
            </w:pPr>
            <w:r>
              <w:rPr/>
              <w:t>Documents are in full force and effect and have not been and will not be revoked, rescinded, amended, superseded or otherwise modified;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both"/>
              <w:rPr/>
            </w:pPr>
            <w:r>
              <w:rPr/>
              <w:t>(g)</w:t>
            </w:r>
          </w:p>
        </w:tc>
        <w:tc>
          <w:tcPr>
            <w:tcW w:w="9955" w:type="dxa"/>
            <w:tcBorders/>
            <w:vAlign w:val="center"/>
          </w:tcPr>
          <w:p>
            <w:pPr>
              <w:pStyle w:val="TableContents"/>
              <w:bidi w:val="0"/>
              <w:spacing w:before="0" w:after="283"/>
              <w:jc w:val="both"/>
              <w:rPr/>
            </w:pPr>
            <w:r>
              <w:rPr/>
              <w:t>the Agreements are legal, valid, binding and enforceable under the law (other than Swiss law) by which they are expressed to be governed, and the choice of the law and the submission to the jurisdiction of the courts stated in the Agreements (other than Swiss courts) are valid, binding and enforceable under all applicable laws and as far as any obligation under the Agreements is required to be performed in any jurisdiction outside of Switzerland, its performance will not be illegal or unenforceable by virtue of the laws of such jurisdiction;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59"/>
        <w:gridCol w:w="9923"/>
      </w:tblGrid>
      <w:tr>
        <w:trPr/>
        <w:tc>
          <w:tcPr>
            <w:tcW w:w="2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(h)</w:t>
            </w:r>
          </w:p>
        </w:tc>
        <w:tc>
          <w:tcPr>
            <w:tcW w:w="9923" w:type="dxa"/>
            <w:tcBorders/>
            <w:vAlign w:val="center"/>
          </w:tcPr>
          <w:p>
            <w:pPr>
              <w:pStyle w:val="TableContents"/>
              <w:bidi w:val="0"/>
              <w:spacing w:before="0" w:after="283"/>
              <w:jc w:val="both"/>
              <w:rPr/>
            </w:pPr>
            <w:r>
              <w:rPr/>
              <w:t>25,000,000 Purchase Shares will be validly issued by the Company based on its capital band as set forth in the Articles, all in line with and pursuant to the Agreements;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(i)</w:t>
            </w:r>
          </w:p>
        </w:tc>
        <w:tc>
          <w:tcPr>
            <w:tcW w:w="9969" w:type="dxa"/>
            <w:tcBorders/>
            <w:vAlign w:val="center"/>
          </w:tcPr>
          <w:p>
            <w:pPr>
              <w:pStyle w:val="TableContents"/>
              <w:bidi w:val="0"/>
              <w:spacing w:before="0" w:after="283"/>
              <w:jc w:val="both"/>
              <w:rPr/>
            </w:pPr>
            <w:r>
              <w:rPr/>
              <w:t>the Company has at all times available a sufficient portion of its capital band (</w:t>
            </w:r>
            <w:r>
              <w:rPr>
                <w:i/>
              </w:rPr>
              <w:t>Kapitalband</w:t>
            </w:r>
            <w:r>
              <w:rPr/>
              <w:t>) for the issuance of the Purchase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as set forth in this section 3 (</w:t>
      </w:r>
      <w:r>
        <w:rPr>
          <w:rFonts w:ascii="Times New Roman;Times;Serif" w:hAnsi="Times New Roman;Times;Serif"/>
          <w:b w:val="false"/>
          <w:i/>
          <w:caps w:val="false"/>
          <w:smallCaps w:val="false"/>
          <w:sz w:val="20"/>
        </w:rPr>
        <w:t>Assumptions</w:t>
      </w:r>
      <w:r>
        <w:rPr>
          <w:rFonts w:ascii="Times New Roman;Times;Serif" w:hAnsi="Times New Roman;Times;Serif"/>
          <w:b w:val="false"/>
          <w:i w:val="false"/>
          <w:caps w:val="false"/>
          <w:smallCaps w:val="false"/>
          <w:sz w:val="20"/>
        </w:rPr>
        <w:t>) do not imply that we have made any inquiry to verify any of them nor do they suggest that we are aware of any circumstances which might affect the correctness of any of them. No assumption specified above is limited by reference to any other assumption.</w:t>
      </w:r>
    </w:p>
    <w:p>
      <w:pPr>
        <w:pStyle w:val="TextBody"/>
        <w:bidi w:val="0"/>
        <w:spacing w:before="0" w:after="0"/>
        <w:jc w:val="both"/>
        <w:rPr>
          <w:caps w:val="false"/>
          <w:smallCaps w:val="false"/>
        </w:rPr>
      </w:pPr>
      <w:r>
        <w:rPr>
          <w:caps w:val="false"/>
          <w:smallCaps w:val="false"/>
        </w:rPr>
        <w:t> </w:t>
      </w:r>
    </w:p>
    <w:tbl>
      <w:tblPr>
        <w:tblW w:w="978" w:type="dxa"/>
        <w:jc w:val="left"/>
        <w:tblInd w:w="0" w:type="dxa"/>
        <w:tblLayout w:type="fixed"/>
        <w:tblCellMar>
          <w:top w:w="0" w:type="dxa"/>
          <w:left w:w="0" w:type="dxa"/>
          <w:bottom w:w="0" w:type="dxa"/>
          <w:right w:w="0" w:type="dxa"/>
        </w:tblCellMar>
      </w:tblPr>
      <w:tblGrid>
        <w:gridCol w:w="23"/>
        <w:gridCol w:w="170"/>
        <w:gridCol w:w="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785"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Documents and assumptions referred to herein and subject to the qualifications referred to herein, we are of the opinion that: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The Purchase Shares to be issued by the Company and covered by the Registration Statement, if and when issued and delivered by the Company and paid for, all in line with and pursuant to the Agreements, will be validly issued, fully paid-in (up to their nominal amount) and non-assessable.</w:t>
            </w:r>
          </w:p>
        </w:tc>
      </w:tr>
    </w:tbl>
    <w:p>
      <w:pPr>
        <w:pStyle w:val="TextBody"/>
        <w:bidi w:val="0"/>
        <w:spacing w:before="0" w:after="0"/>
        <w:jc w:val="left"/>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23"/>
        <w:gridCol w:w="170"/>
        <w:gridCol w:w="1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22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in this letter are subject to the following qualifications: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to practice law in Switzerland and do not hold ourselves to be experts in any laws other than the laws of Switzerland. In this respect, we assume that there is nothing under any law (other than the laws of Switzerland) which would or might affect the opinions expressed herein.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99"/>
        <w:gridCol w:w="9983"/>
      </w:tblGrid>
      <w:tr>
        <w:trPr/>
        <w:tc>
          <w:tcPr>
            <w:tcW w:w="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opinion, Swiss legal concepts are expressed in English terms and not in their original language. These concepts may not be identical to the concepts described by the same English terms as they exist under the laws of other jurisdictions; this opinion may, therefore, only be relied upon under the express condition that any issues of interpretation or liability arising hereunder will be governed by substantive Swiss law and be brought before a Swiss court.</w:t>
            </w:r>
          </w:p>
        </w:tc>
      </w:tr>
    </w:tbl>
    <w:p>
      <w:pPr>
        <w:pStyle w:val="TextBody"/>
        <w:bidi w:val="0"/>
        <w:spacing w:before="0" w:after="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510"/>
        <w:gridCol w:w="935"/>
      </w:tblGrid>
      <w:tr>
        <w:trPr/>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Registration Statement</w:t>
            </w:r>
          </w:p>
        </w:tc>
        <w:tc>
          <w:tcPr>
            <w:tcW w:w="9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4</w:t>
            </w:r>
          </w:p>
        </w:tc>
      </w:tr>
    </w:tbl>
    <w:tbl>
      <w:tblPr>
        <w:tblW w:w="4370" w:type="dxa"/>
        <w:jc w:val="left"/>
        <w:tblInd w:w="0" w:type="dxa"/>
        <w:tblLayout w:type="fixed"/>
        <w:tblCellMar>
          <w:top w:w="0" w:type="dxa"/>
          <w:left w:w="0" w:type="dxa"/>
          <w:bottom w:w="0" w:type="dxa"/>
          <w:right w:w="0" w:type="dxa"/>
        </w:tblCellMar>
      </w:tblPr>
      <w:tblGrid>
        <w:gridCol w:w="2265"/>
        <w:gridCol w:w="2105"/>
      </w:tblGrid>
      <w:tr>
        <w:trPr/>
        <w:tc>
          <w:tcPr>
            <w:tcW w:w="2265" w:type="dxa"/>
            <w:tcBorders/>
            <w:vAlign w:val="center"/>
          </w:tcPr>
          <w:p>
            <w:pPr>
              <w:pStyle w:val="TableContents"/>
              <w:bidi w:val="0"/>
              <w:spacing w:before="0" w:after="283"/>
              <w:jc w:val="left"/>
              <w:rPr/>
            </w:pPr>
            <w:r>
              <w:rPr/>
              <w:drawing>
                <wp:inline distT="0" distB="0" distL="0" distR="0">
                  <wp:extent cx="1428750" cy="25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0"/>
                          <a:stretch>
                            <a:fillRect/>
                          </a:stretch>
                        </pic:blipFill>
                        <pic:spPr bwMode="auto">
                          <a:xfrm>
                            <a:off x="0" y="0"/>
                            <a:ext cx="1428750" cy="257175"/>
                          </a:xfrm>
                          <a:prstGeom prst="rect">
                            <a:avLst/>
                          </a:prstGeom>
                        </pic:spPr>
                      </pic:pic>
                    </a:graphicData>
                  </a:graphic>
                </wp:inline>
              </w:drawing>
            </w:r>
          </w:p>
        </w:tc>
        <w:tc>
          <w:tcPr>
            <w:tcW w:w="2105" w:type="dxa"/>
            <w:tcBorders/>
            <w:vAlign w:val="center"/>
          </w:tcPr>
          <w:p>
            <w:pPr>
              <w:pStyle w:val="TableContents"/>
              <w:bidi w:val="0"/>
              <w:spacing w:before="0" w:after="283"/>
              <w:jc w:val="right"/>
              <w:rPr>
                <w:b/>
              </w:rPr>
            </w:pPr>
            <w:r>
              <w:rPr>
                <w:b/>
              </w:rPr>
              <w:t>Swiss Legal Opinion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validity and enforceability of the Agreement or as to any tax matters or regulatory, commercial, accounting, calculating, auditing or other non-legal matters.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58" w:type="dxa"/>
            <w:tcBorders/>
            <w:vAlign w:val="center"/>
          </w:tcPr>
          <w:p>
            <w:pPr>
              <w:pStyle w:val="TableContents"/>
              <w:bidi w:val="0"/>
              <w:spacing w:before="0" w:after="283"/>
              <w:jc w:val="both"/>
              <w:rPr/>
            </w:pPr>
            <w:r>
              <w:rPr/>
              <w:t>The Company’s capital band as per the Articles authorizes the Company’s board of directors to increase the share capital by up to CHF 623,952 through the issuance of no more than 70,662,564 registered shares with a nominal value of CHF 100/11,325 until 31 December 2030. Any issuances of Shares by the Company under the Company’s capital band other than pursuant to the Purchase Agreement would further decrease the number of available shares issuable under the Purchase Agreement. If the Company and the Company’s board of directors wanted to issue more shares pursuant to the Purchase Agreement than available under the Company’s capital band as per the Articles, the Company’s shareholders’ meeting would have to amend the Articles.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52"/>
        <w:gridCol w:w="9930"/>
      </w:tblGrid>
      <w:tr>
        <w:trPr/>
        <w:tc>
          <w:tcPr>
            <w:tcW w:w="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(e)</w:t>
            </w:r>
          </w:p>
        </w:tc>
        <w:tc>
          <w:tcPr>
            <w:tcW w:w="9930" w:type="dxa"/>
            <w:tcBorders/>
            <w:vAlign w:val="center"/>
          </w:tcPr>
          <w:p>
            <w:pPr>
              <w:pStyle w:val="TableContents"/>
              <w:bidi w:val="0"/>
              <w:spacing w:before="0" w:after="283"/>
              <w:jc w:val="both"/>
              <w:rPr/>
            </w:pPr>
            <w:r>
              <w:rPr/>
              <w:t>When used in this opinion, the term “non-assessable” means that no further contributions have to be made by the relevant holder of the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(f)</w:t>
            </w:r>
          </w:p>
        </w:tc>
        <w:tc>
          <w:tcPr>
            <w:tcW w:w="9946" w:type="dxa"/>
            <w:tcBorders/>
            <w:vAlign w:val="center"/>
          </w:tcPr>
          <w:p>
            <w:pPr>
              <w:pStyle w:val="TableContents"/>
              <w:bidi w:val="0"/>
              <w:spacing w:before="0" w:after="283"/>
              <w:jc w:val="both"/>
              <w:rPr/>
            </w:pPr>
            <w:r>
              <w:rPr/>
              <w:t>We express no opinion as to the accuracy or completeness of the information contained in the Registration Statement.</w:t>
            </w:r>
          </w:p>
        </w:tc>
      </w:tr>
    </w:tbl>
    <w:p>
      <w:pPr>
        <w:pStyle w:val="TextBody"/>
        <w:bidi w:val="0"/>
        <w:spacing w:before="0" w:after="0"/>
        <w:jc w:val="left"/>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23"/>
        <w:gridCol w:w="170"/>
        <w:gridCol w:w="1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220" w:type="dxa"/>
            <w:tcBorders>
              <w:top w:val="single" w:sz="8" w:space="0" w:color="000000"/>
            </w:tcBorders>
            <w:tcMar>
              <w:top w:w="6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this opinion as of the date hereof and we do not assume any obligation to advise you of any changes in fact or in law that may occur after the date hereof.</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further consent to the reference to our name under the caption “Legal Matter” in the Registration Statement. In giving such consent, we do not thereby admit that we are in the category of persons whose consent is required under Section 7 of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issued by Walder Wyss Ltd., a stock corporation (</w:t>
      </w:r>
      <w:r>
        <w:rPr>
          <w:rFonts w:ascii="Times New Roman;Times;Serif" w:hAnsi="Times New Roman;Times;Serif"/>
          <w:b w:val="false"/>
          <w:i/>
          <w:caps w:val="false"/>
          <w:smallCaps w:val="false"/>
          <w:sz w:val="20"/>
        </w:rPr>
        <w:t>Aktiengesellschaft</w:t>
      </w:r>
      <w:r>
        <w:rPr>
          <w:rFonts w:ascii="Times New Roman;Times;Serif" w:hAnsi="Times New Roman;Times;Serif"/>
          <w:b w:val="false"/>
          <w:i w:val="false"/>
          <w:caps w:val="false"/>
          <w:smallCaps w:val="false"/>
          <w:sz w:val="20"/>
        </w:rPr>
        <w:t>) incorporated under the laws of Switzerland. No director, officer or other employee of Walder Wyss Ltd. may be held liable under or in connection with this opinion and terms such as “we”, “us” and “ours” shall be interpreted accordingly.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only be relied upon under the express condition that any issues of interpretation or liability arising hereunder will be governed by and shall be construed in accordance with the substantive laws of Switzerland and any dispute arising out of or in connection with this opinion shall be subject to the exclusive jurisdiction of the ordinary courts of the city of Zurich, Switzerland.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1895"/>
        <w:gridCol w:w="60"/>
        <w:gridCol w:w="1640"/>
      </w:tblGrid>
      <w:tr>
        <w:trPr/>
        <w:tc>
          <w:tcPr>
            <w:tcW w:w="1895" w:type="dxa"/>
            <w:tcBorders/>
            <w:vAlign w:val="center"/>
          </w:tcPr>
          <w:p>
            <w:pPr>
              <w:pStyle w:val="TableContents"/>
              <w:bidi w:val="0"/>
              <w:spacing w:before="0" w:after="283"/>
              <w:jc w:val="left"/>
              <w:rPr>
                <w:b/>
              </w:rPr>
            </w:pPr>
            <w:r>
              <w:rPr>
                <w:b/>
              </w:rPr>
              <w:t>Walder Wyss Ltd.</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r>
      <w:tr>
        <w:trPr/>
        <w:tc>
          <w:tcPr>
            <w:tcW w:w="1895" w:type="dxa"/>
            <w:tcBorders>
              <w:bottom w:val="single" w:sz="8" w:space="0" w:color="000000"/>
            </w:tcBorders>
            <w:tcMar>
              <w:bottom w:w="28" w:type="dxa"/>
            </w:tcMar>
            <w:vAlign w:val="center"/>
          </w:tcPr>
          <w:p>
            <w:pPr>
              <w:pStyle w:val="TableContents"/>
              <w:bidi w:val="0"/>
              <w:spacing w:before="0" w:after="283"/>
              <w:jc w:val="left"/>
              <w:rPr>
                <w:i/>
              </w:rPr>
            </w:pPr>
            <w:r>
              <w:rPr>
                <w:i/>
              </w:rPr>
              <w:t>/s/ Thiemo Sturny</w:t>
            </w:r>
          </w:p>
        </w:tc>
        <w:tc>
          <w:tcPr>
            <w:tcW w:w="60" w:type="dxa"/>
            <w:tcBorders/>
            <w:vAlign w:val="center"/>
          </w:tcPr>
          <w:p>
            <w:pPr>
              <w:pStyle w:val="TableContents"/>
              <w:bidi w:val="0"/>
              <w:spacing w:before="0" w:after="283"/>
              <w:jc w:val="left"/>
              <w:rPr/>
            </w:pPr>
            <w:r>
              <w:rPr/>
              <w:t> </w:t>
            </w:r>
          </w:p>
        </w:tc>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/s/ Marius Breier</w:t>
            </w:r>
          </w:p>
        </w:tc>
      </w:tr>
      <w:tr>
        <w:trPr/>
        <w:tc>
          <w:tcPr>
            <w:tcW w:w="1895" w:type="dxa"/>
            <w:tcBorders/>
            <w:vAlign w:val="center"/>
          </w:tcPr>
          <w:p>
            <w:pPr>
              <w:pStyle w:val="TableContents"/>
              <w:bidi w:val="0"/>
              <w:spacing w:before="0" w:after="283"/>
              <w:jc w:val="left"/>
              <w:rPr/>
            </w:pPr>
            <w:r>
              <w:rPr/>
              <w:t>Thiemo Sturny</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Marius Breier</w:t>
            </w:r>
          </w:p>
        </w:tc>
      </w:tr>
    </w:tbl>
    <w:p>
      <w:pPr>
        <w:pStyle w:val="TextBody"/>
        <w:bidi w:val="0"/>
        <w:spacing w:before="0" w:after="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510"/>
        <w:gridCol w:w="935"/>
      </w:tblGrid>
      <w:tr>
        <w:trPr/>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Registration Statement</w:t>
            </w:r>
          </w:p>
        </w:tc>
        <w:tc>
          <w:tcPr>
            <w:tcW w:w="9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4</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6815/000182912625002874/voyageracq_ex2-1.htm" TargetMode="External"/><Relationship Id="rId3" Type="http://schemas.openxmlformats.org/officeDocument/2006/relationships/hyperlink" Target="https://www.sec.gov/Archives/edgar/data/2006815/000182912625008292/voyageracq_ex2-1.htm" TargetMode="External"/><Relationship Id="rId4" Type="http://schemas.openxmlformats.org/officeDocument/2006/relationships/hyperlink" Target="https://www.sec.gov/Archives/edgar/data/2006815/000182912626000900/voyageracq_ex2-1.htm" TargetMode="External"/><Relationship Id="rId5" Type="http://schemas.openxmlformats.org/officeDocument/2006/relationships/hyperlink" Target="https://www.sec.gov/Archives/edgar/data/2079109/000182912626007854/veraxabiotechag_ex99-2.htm" TargetMode="External"/><Relationship Id="rId6" Type="http://schemas.openxmlformats.org/officeDocument/2006/relationships/hyperlink" Target="https://www.sec.gov/Archives/edgar/data/2079109/000182912626006546/veraxabiotech_ex2-1.htm" TargetMode="External"/><Relationship Id="rId7" Type="http://schemas.openxmlformats.org/officeDocument/2006/relationships/hyperlink" Target="https://www.sec.gov/Archives/edgar/data/2006815/000182912624005510/voyageracq_ex4-1.htm" TargetMode="External"/><Relationship Id="rId8" Type="http://schemas.openxmlformats.org/officeDocument/2006/relationships/hyperlink" Target="https://www.sec.gov/Archives/edgar/data/2006815/000182912624005510/voyageracq_ex10-4.htm" TargetMode="External"/><Relationship Id="rId9" Type="http://schemas.openxmlformats.org/officeDocument/2006/relationships/hyperlink" Target="https://www.sec.gov/Archives/edgar/data/2006815/000182912624005510/voyageracq_ex10-5.htm" TargetMode="External"/><Relationship Id="rId10" Type="http://schemas.openxmlformats.org/officeDocument/2006/relationships/hyperlink" Target="https://www.sec.gov/Archives/edgar/data/2079109/000182912626006546/veraxabiotech_ex2-5.htm" TargetMode="External"/><Relationship Id="rId11" Type="http://schemas.openxmlformats.org/officeDocument/2006/relationships/hyperlink" Target="https://www.sec.gov/Archives/edgar/data/2006815/000182912625005092/voyageracq_ex10-1.htm" TargetMode="External"/><Relationship Id="rId12" Type="http://schemas.openxmlformats.org/officeDocument/2006/relationships/hyperlink" Target="https://www.sec.gov/Archives/edgar/data/2006815/000182912625002874/voyageracq_ex10-2.htm" TargetMode="External"/><Relationship Id="rId13" Type="http://schemas.openxmlformats.org/officeDocument/2006/relationships/hyperlink" Target="https://www.sec.gov/Archives/edgar/data/2006815/000182912626000900/voyageracq_ex10-1.htm" TargetMode="External"/><Relationship Id="rId14" Type="http://schemas.openxmlformats.org/officeDocument/2006/relationships/hyperlink" Target="https://www.sec.gov/Archives/edgar/data/2079109/000182912626006546/veraxabiotech_ex4-7.htm" TargetMode="External"/><Relationship Id="rId15" Type="http://schemas.openxmlformats.org/officeDocument/2006/relationships/hyperlink" Target="https://www.sec.gov/Archives/edgar/data/2006815/000182912625002874/voyageracq_ex10-1.htm" TargetMode="External"/><Relationship Id="rId16" Type="http://schemas.openxmlformats.org/officeDocument/2006/relationships/hyperlink" Target="https://www.sec.gov/Archives/edgar/data/2006815/000182912626001295/veraxabiotech_ex10-22.htm" TargetMode="External"/><Relationship Id="rId17" Type="http://schemas.openxmlformats.org/officeDocument/2006/relationships/hyperlink" Target="https://www.sec.gov/Archives/edgar/data/2006815/000182912626005814/voyageracq_ex10-1.htm" TargetMode="External"/><Relationship Id="rId18" Type="http://schemas.openxmlformats.org/officeDocument/2006/relationships/hyperlink" Target="https://www.sec.gov/Archives/edgar/data/2079109/000182912626006546/veraxabiotech_ex4-11.htm" TargetMode="External"/><Relationship Id="rId19" Type="http://schemas.openxmlformats.org/officeDocument/2006/relationships/hyperlink" Target="https://www.sec.gov/Archives/edgar/data/2079109/000182912626006546/veraxabiotech_ex4-12.htm" TargetMode="External"/><Relationship Id="rId20" Type="http://schemas.openxmlformats.org/officeDocument/2006/relationships/hyperlink" Target="https://www.sec.gov/Archives/edgar/data/2006815/000182912626005814/voyageracq_ex10-4.htm" TargetMode="External"/><Relationship Id="rId21" Type="http://schemas.openxmlformats.org/officeDocument/2006/relationships/hyperlink" Target="https://www.sec.gov/Archives/edgar/data/2006815/000182912626005814/voyageracq_ex10-4.htm" TargetMode="External"/><Relationship Id="rId22" Type="http://schemas.openxmlformats.org/officeDocument/2006/relationships/hyperlink" Target="https://www.sec.gov/Archives/edgar/data/2079109/000182912626006546/veraxabiotech_ex8-1.htm" TargetMode="External"/><Relationship Id="rId23" Type="http://schemas.openxmlformats.org/officeDocument/2006/relationships/hyperlink" Target="https://www.sec.gov/Archives/edgar/data/2079109/000182912626008247/veraxabiotech_ex23-1.htm" TargetMode="External"/><Relationship Id="rId24" Type="http://schemas.openxmlformats.org/officeDocument/2006/relationships/hyperlink" Target="https://www.sec.gov/Archives/edgar/data/2079109/000182912626008247/veraxabiotech_ex23-2.htm" TargetMode="External"/><Relationship Id="rId25" Type="http://schemas.openxmlformats.org/officeDocument/2006/relationships/hyperlink" Target="https://www.sec.gov/Archives/edgar/data/2079109/000182912626008247/veraxabiotech_ex23-3.htm" TargetMode="External"/><Relationship Id="rId26" Type="http://schemas.openxmlformats.org/officeDocument/2006/relationships/hyperlink" Target="https://www.sec.gov/ix?doc=/Archives/edgar/data/2079109/000182912626008247/veraxabiotech_ex107.htm" TargetMode="External"/><Relationship Id="rId27" Type="http://schemas.openxmlformats.org/officeDocument/2006/relationships/image" Target="media/image1.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6698</Words>
  <Characters>35749</Characters>
  <CharactersWithSpaces>42502</CharactersWithSpaces>
  <Paragraphs>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