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_f1a.htm"/>
      <w:bookmarkStart w:id="1" w:name="ksveraxabiotech_f1a"/>
      <w:bookmarkEnd w:id="0"/>
      <w:bookmarkEnd w:id="1"/>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 filed with the U.S. Securities and Exchange Commission on August 5, 2026</w:t>
      </w:r>
    </w:p>
    <w:p>
      <w:pPr>
        <w:pStyle w:val="TextBody"/>
        <w:bidi w:val="0"/>
        <w:jc w:val="left"/>
        <w:rPr>
          <w:caps w:val="false"/>
          <w:smallCaps w:val="false"/>
        </w:rPr>
      </w:pPr>
      <w:r>
        <w:rPr>
          <w:caps w:val="false"/>
          <w:smallCaps w:val="false"/>
        </w:rPr>
        <w:t> </w:t>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Registration No. 333-297908</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br/>
        <w:t>SECURITIES AND EXCHANGE COMMISSION</w:t>
        <w:b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2" w:name="xdx_900_edei--AmendmentDescription_c2025"/>
      <w:bookmarkEnd w:id="2"/>
      <w:r>
        <w:rPr>
          <w:rFonts w:ascii="Times New Roman;Times;Serif" w:hAnsi="Times New Roman;Times;Serif"/>
          <w:b/>
          <w:i w:val="false"/>
          <w:caps w:val="false"/>
          <w:smallCaps w:val="false"/>
          <w:sz w:val="28"/>
        </w:rPr>
        <w:t>AMENDMENT NO. 1</w:t>
        <w:br/>
        <w:t>TO</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 xml:space="preserve">FORM </w:t>
      </w:r>
      <w:bookmarkStart w:id="3" w:name="xdx_90A_edei--DocumentType_dxL_c20250101"/>
      <w:bookmarkEnd w:id="3"/>
      <w:r>
        <w:rPr>
          <w:rFonts w:ascii="Times New Roman" w:hAnsi="Times New Roman"/>
          <w:b/>
          <w:i w:val="false"/>
          <w:caps w:val="false"/>
          <w:smallCaps w:val="false"/>
          <w:sz w:val="28"/>
        </w:rPr>
        <w:t>F-1</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REGISTRATION STATEMENT</w:t>
        <w:br/>
      </w:r>
      <w:r>
        <w:rPr>
          <w:rFonts w:ascii="Times New Roman" w:hAnsi="Times New Roman"/>
          <w:b/>
          <w:i/>
          <w:caps w:val="false"/>
          <w:smallCaps w:val="false"/>
          <w:sz w:val="20"/>
        </w:rPr>
        <w:t>UNDER</w:t>
        <w:br/>
        <w:t>THE SECURITIES ACT OF 1933</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w:t>
        <w:br/>
        <w:t>(Translation of registrant’s name into English)</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bookmarkStart w:id="4" w:name="xdx_901_edei--EntityIncorporationStateCo"/>
            <w:bookmarkEnd w:id="4"/>
            <w:r>
              <w:rPr>
                <w:rFonts w:ascii="Times New Roman" w:hAnsi="Times New Roman"/>
                <w:b/>
                <w:i w:val="false"/>
                <w:caps w:val="false"/>
                <w:smallCaps w:val="false"/>
                <w:sz w:val="20"/>
              </w:rPr>
              <w:t>Switzerland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2834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(IRS Employer</w:t>
              <w:br/>
              <w:t>Identification Number)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5" w:name="xdx_90C_edei--EntityAddressAddressLine1_"/>
      <w:bookmarkEnd w:id="5"/>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bookmarkStart w:id="6" w:name="xdx_908_edei--EntityAddressAddressLine2_"/>
      <w:bookmarkEnd w:id="6"/>
      <w:r>
        <w:rPr>
          <w:rFonts w:ascii="Times New Roman" w:hAnsi="Times New Roman"/>
          <w:b/>
          <w:i w:val="false"/>
          <w:caps w:val="false"/>
          <w:smallCaps w:val="false"/>
          <w:sz w:val="20"/>
        </w:rPr>
        <w:t xml:space="preserve">8001 Zurich, </w:t>
      </w:r>
      <w:bookmarkStart w:id="7" w:name="xdx_90E_edei--EntityAddressCityOrTown_c2"/>
      <w:bookmarkEnd w:id="7"/>
      <w:r>
        <w:rPr>
          <w:rFonts w:ascii="Times New Roman" w:hAnsi="Times New Roman"/>
          <w:b/>
          <w:i w:val="false"/>
          <w:caps w:val="false"/>
          <w:smallCaps w:val="false"/>
          <w:sz w:val="20"/>
        </w:rPr>
        <w:t>Switzerland</w:t>
      </w:r>
    </w:p>
    <w:p>
      <w:pPr>
        <w:pStyle w:val="TextBody"/>
        <w:bidi w:val="0"/>
        <w:jc w:val="center"/>
        <w:rPr>
          <w:rFonts w:ascii="Times New Roman" w:hAnsi="Times New Roman"/>
          <w:b/>
          <w:i w:val="false"/>
          <w:caps w:val="false"/>
          <w:smallCaps w:val="false"/>
          <w:sz w:val="20"/>
        </w:rPr>
      </w:pPr>
      <w:bookmarkStart w:id="8" w:name="xdx_907_edei--EntityAddressPostalZipCode"/>
      <w:bookmarkEnd w:id="8"/>
      <w:r>
        <w:rPr>
          <w:rFonts w:ascii="Times New Roman" w:hAnsi="Times New Roman"/>
          <w:b/>
          <w:i w:val="false"/>
          <w:caps w:val="false"/>
          <w:smallCaps w:val="false"/>
          <w:sz w:val="20"/>
        </w:rPr>
        <w:t xml:space="preserve">00000Tel: </w:t>
      </w:r>
      <w:bookmarkStart w:id="9" w:name="xdx_90A_edei--CityAreaCode_c20250101__20"/>
      <w:bookmarkEnd w:id="9"/>
      <w:r>
        <w:rPr>
          <w:rFonts w:ascii="Times New Roman" w:hAnsi="Times New Roman"/>
          <w:b/>
          <w:i w:val="false"/>
          <w:caps w:val="false"/>
          <w:smallCaps w:val="false"/>
          <w:sz w:val="20"/>
        </w:rPr>
        <w:t xml:space="preserve">+41 </w:t>
      </w:r>
      <w:bookmarkStart w:id="10" w:name="xdx_90F_edei--LocalPhoneNumber_c20250101"/>
      <w:bookmarkEnd w:id="10"/>
      <w:r>
        <w:rPr>
          <w:rFonts w:ascii="Times New Roman" w:hAnsi="Times New Roman"/>
          <w:b/>
          <w:i w:val="false"/>
          <w:caps w:val="false"/>
          <w:smallCaps w:val="false"/>
          <w:sz w:val="20"/>
        </w:rPr>
        <w:t>44 385 84 50</w:t>
        <w:br/>
        <w:t>(Address, including zip code, and telephone number, including area code, of registrant’s principal executive offices)</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bookmarkStart w:id="11" w:name="xdx_907_edei--ContactPersonnelName_c2025"/>
      <w:bookmarkEnd w:id="11"/>
      <w:r>
        <w:rPr>
          <w:rFonts w:ascii="Times New Roman" w:hAnsi="Times New Roman"/>
          <w:b/>
          <w:i w:val="false"/>
          <w:caps w:val="false"/>
          <w:smallCaps w:val="false"/>
          <w:sz w:val="20"/>
        </w:rPr>
        <w:t>Cogency Global Inc.</w:t>
        <w:br/>
      </w:r>
      <w:bookmarkStart w:id="12" w:name="xdx_90C_edei--EntityAddressAddressLine1_"/>
      <w:bookmarkEnd w:id="12"/>
      <w:r>
        <w:rPr>
          <w:rFonts w:ascii="Times New Roman" w:hAnsi="Times New Roman"/>
          <w:b/>
          <w:i w:val="false"/>
          <w:caps w:val="false"/>
          <w:smallCaps w:val="false"/>
          <w:sz w:val="20"/>
        </w:rPr>
        <w:t>122 East 42</w:t>
      </w:r>
      <w:r>
        <w:rPr>
          <w:rFonts w:ascii="Times New Roman" w:hAnsi="Times New Roman"/>
          <w:b/>
          <w:i w:val="false"/>
          <w:caps w:val="false"/>
          <w:smallCaps w:val="false"/>
          <w:position w:val="7"/>
          <w:sz w:val="16"/>
          <w:sz w:val="20"/>
        </w:rPr>
        <w:t>nd</w:t>
      </w:r>
      <w:r>
        <w:rPr>
          <w:rFonts w:ascii="Times New Roman" w:hAnsi="Times New Roman"/>
          <w:b/>
          <w:i w:val="false"/>
          <w:caps w:val="false"/>
          <w:smallCaps w:val="false"/>
          <w:sz w:val="20"/>
        </w:rPr>
        <w:t xml:space="preserve"> Street,</w:t>
        <w:br/>
      </w:r>
      <w:bookmarkStart w:id="13" w:name="xdx_902_edei--EntityAddressAddressLine2_"/>
      <w:bookmarkEnd w:id="13"/>
      <w:r>
        <w:rPr>
          <w:rFonts w:ascii="Times New Roman" w:hAnsi="Times New Roman"/>
          <w:b/>
          <w:i w:val="false"/>
          <w:caps w:val="false"/>
          <w:smallCaps w:val="false"/>
          <w:sz w:val="20"/>
        </w:rPr>
        <w:t>18</w:t>
      </w:r>
      <w:r>
        <w:rPr>
          <w:rFonts w:ascii="Times New Roman" w:hAnsi="Times New Roman"/>
          <w:b/>
          <w:i w:val="false"/>
          <w:caps w:val="false"/>
          <w:smallCaps w:val="false"/>
          <w:position w:val="7"/>
          <w:sz w:val="16"/>
          <w:sz w:val="20"/>
        </w:rPr>
        <w:t>th</w:t>
      </w:r>
      <w:r>
        <w:rPr>
          <w:rFonts w:ascii="Times New Roman" w:hAnsi="Times New Roman"/>
          <w:b/>
          <w:i w:val="false"/>
          <w:caps w:val="false"/>
          <w:smallCaps w:val="false"/>
          <w:sz w:val="20"/>
        </w:rPr>
        <w:t xml:space="preserve"> Floor</w:t>
        <w:br/>
      </w:r>
      <w:bookmarkStart w:id="14" w:name="xdx_907_edei--EntityAddressCityOrTown_c2"/>
      <w:bookmarkEnd w:id="14"/>
      <w:r>
        <w:rPr>
          <w:rFonts w:ascii="Times New Roman" w:hAnsi="Times New Roman"/>
          <w:b/>
          <w:i w:val="false"/>
          <w:caps w:val="false"/>
          <w:smallCaps w:val="false"/>
          <w:sz w:val="20"/>
        </w:rPr>
        <w:t xml:space="preserve">New York, </w:t>
      </w:r>
      <w:bookmarkStart w:id="15" w:name="xdx_908_edei--EntityAddressStateOrProvin"/>
      <w:bookmarkEnd w:id="15"/>
      <w:r>
        <w:rPr>
          <w:rFonts w:ascii="Times New Roman" w:hAnsi="Times New Roman"/>
          <w:b/>
          <w:i w:val="false"/>
          <w:caps w:val="false"/>
          <w:smallCaps w:val="false"/>
          <w:sz w:val="20"/>
        </w:rPr>
        <w:t xml:space="preserve">NY </w:t>
      </w:r>
      <w:bookmarkStart w:id="16" w:name="xdx_909_edei--EntityAddressPostalZipCode"/>
      <w:bookmarkEnd w:id="16"/>
      <w:r>
        <w:rPr>
          <w:rFonts w:ascii="Times New Roman" w:hAnsi="Times New Roman"/>
          <w:b/>
          <w:i w:val="false"/>
          <w:caps w:val="false"/>
          <w:smallCaps w:val="false"/>
          <w:sz w:val="20"/>
        </w:rPr>
        <w:t>10168</w:t>
        <w:br/>
        <w:t>+</w:t>
      </w:r>
      <w:bookmarkStart w:id="17" w:name="xdx_90B_edei--CountryRegion_c20250101__2"/>
      <w:bookmarkEnd w:id="17"/>
      <w:r>
        <w:rPr>
          <w:rFonts w:ascii="Times New Roman" w:hAnsi="Times New Roman"/>
          <w:b/>
          <w:i w:val="false"/>
          <w:caps w:val="false"/>
          <w:smallCaps w:val="false"/>
          <w:sz w:val="20"/>
        </w:rPr>
        <w:t>1</w:t>
      </w:r>
      <w:bookmarkStart w:id="18" w:name="xdx_903_edei--CityAreaCode_c20250101__20"/>
      <w:bookmarkEnd w:id="18"/>
      <w:r>
        <w:rPr>
          <w:rFonts w:ascii="Times New Roman" w:hAnsi="Times New Roman"/>
          <w:b/>
          <w:i w:val="false"/>
          <w:caps w:val="false"/>
          <w:smallCaps w:val="false"/>
          <w:sz w:val="20"/>
        </w:rPr>
        <w:t xml:space="preserve">(800) </w:t>
      </w:r>
      <w:bookmarkStart w:id="19" w:name="xdx_908_edei--LocalPhoneNumber_c20250101"/>
      <w:bookmarkEnd w:id="19"/>
      <w:r>
        <w:rPr>
          <w:rFonts w:ascii="Times New Roman" w:hAnsi="Times New Roman"/>
          <w:b/>
          <w:i w:val="false"/>
          <w:caps w:val="false"/>
          <w:smallCaps w:val="false"/>
          <w:sz w:val="20"/>
        </w:rPr>
        <w:t>221-0102</w:t>
        <w:br/>
        <w:t>(Name, address, including zip code, and telephone number, including area code, of agent for service)</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caps w:val="false"/>
          <w:smallCaps w:val="false"/>
          <w:sz w:val="20"/>
        </w:rPr>
      </w:pPr>
      <w:r>
        <w:rPr>
          <w:rFonts w:ascii="Times New Roman" w:hAnsi="Times New Roman"/>
          <w:b/>
          <w:i/>
          <w:caps w:val="false"/>
          <w:smallCaps w:val="false"/>
          <w:sz w:val="20"/>
        </w:rPr>
        <w:t>With copies to:</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Joshua A. Kaufman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Elizabeth McNichol</w:t>
        <w:br/>
        <w:t>Katten Muchin Rosenman LLP</w:t>
        <w:br/>
        <w:t>801 Brickell Avenue, 8th Floor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Miami, FL 33131</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+1(305) 420-9400</w:t>
      </w:r>
    </w:p>
    <w:p>
      <w:pPr>
        <w:pStyle w:val="TextBody"/>
        <w:bidi w:val="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 w:hAnsi="Times New Roman"/>
          <w:b/>
          <w:i w:val="false"/>
          <w:caps w:val="false"/>
          <w:smallCaps w:val="false"/>
          <w:sz w:val="20"/>
        </w:rPr>
      </w:pPr>
      <w:r>
        <w:rPr>
          <w:rFonts w:ascii="Times New Roman" w:hAnsi="Times New Roman"/>
          <w:b/>
          <w:i w:val="false"/>
          <w:caps w:val="false"/>
          <w:smallCaps w:val="false"/>
          <w:sz w:val="20"/>
        </w:rPr>
        <w:t>Approximate date of commencement of proposed sale of the securities to the public: As soon as practicable after the effectiveness of this registration statement.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an emerging growth company as defined in Rule 405 of the Securities Act of 1933.</w:t>
      </w:r>
    </w:p>
    <w:p>
      <w:pPr>
        <w:pStyle w:val="TextBody"/>
        <w:bidi w:val="0"/>
        <w:jc w:val="left"/>
        <w:rPr>
          <w:caps w:val="false"/>
          <w:smallCaps w:val="false"/>
        </w:rPr>
      </w:pPr>
      <w:r>
        <w:rPr>
          <w:caps w:val="false"/>
          <w:smallCaps w:val="false"/>
        </w:rPr>
        <w:t> </w:t>
      </w:r>
    </w:p>
    <w:p>
      <w:pPr>
        <w:pStyle w:val="TextBody"/>
        <w:bidi w:val="0"/>
        <w:ind w:left="0" w:right="0" w:firstLine="36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Emerging growth company </w:t>
      </w:r>
      <w:bookmarkStart w:id="20" w:name="xdx_909_edei--EntityEmergingGrowthCompan"/>
      <w:bookmarkEnd w:id="20"/>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bookmarkStart w:id="21" w:name="xdx_900_edei--EntityExTransitionPeriod_c"/>
      <w:bookmarkEnd w:id="21"/>
      <w:r>
        <w:rPr>
          <w:rFonts w:ascii="Times New Roman" w:hAnsi="Times New Roman"/>
          <w:b w:val="false"/>
          <w:i w:val="false"/>
          <w:caps w:val="false"/>
          <w:smallCaps w:val="false"/>
          <w:sz w:val="20"/>
        </w:rPr>
        <w:t>☐</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of the Securities Act of 1933, as amended, or until the Registration Statement shall become effective on such date as the Securities and Exchange Commission, acting pursuant to such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may determine.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color w:val="D2232A"/>
        </w:rPr>
      </w:pPr>
      <w:r>
        <w:rPr>
          <w:caps w:val="false"/>
          <w:smallCaps w:val="false"/>
          <w:color w:val="D2232A"/>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is being filed solely to file exhibits to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6" w:space="1" w:color="000000"/>
        </w:rPr>
      </w:pPr>
      <w:r>
        <w:rPr>
          <w:bdr w:val="single" w:sz="16" w:space="1" w:color="000000"/>
        </w:rPr>
        <w:t> </w:t>
      </w:r>
    </w:p>
    <w:p>
      <w:pPr>
        <w:pStyle w:val="TextBody"/>
        <w:bidi w:val="0"/>
        <w:spacing w:before="120" w:after="12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Swiss Law and the Company Articles, the shareholders’ meeting has the authority to grant discharge to the members of the Board from liability. The effect of the resolution of release (discharge) by the shareholders’ meeting is effective only for disclosed facts and only against the company and those shareholders who approved the resolution or who have since acquired their shares in full knowledge of the resolution. The right of action of other shareholders lapses twelve months after the resolution of release.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Swiss law, an indemnification of a member of the Board or the executive management in relation to potential personal liability is not effective to the extent the member of the Board or the executive management intentionally or gross negligently violated his or her corporate duties towards the company (certain views advocate that a negligent violation is sufficient to exclude the indemnification). Almost all violations of corporate law are regarded as violations of duties towards the company rather than towards the shareholders. In addition, indemnification of other controlling persons is not permitted under Swiss law, including shareholders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our company pursuant to the foregoing provisions, our company has been informed that in the opinion of the SEC such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and our predecessors have issued the securities described below without registration under the Securities Act. Unless otherwise indicated, the securities described below were issued in transactions not involving any public offering, and we believe such transactions were exempt from registration under Section 4(a)(2) of the Securities Act, Regulation D promulgated thereunder, Regulation S promulgated thereunder and/or other available exemptions from registration under the Securities Act. No underwriters were involved in the transactions described below, except as otherwise indicated. The share and per-share amounts for securities issued by Veraxa Biotech AG prior to the Business Combination refer to securities of legacy Veraxa Biotech AG and should be conformed, as applicable, to reflect the exchange ratio and post-Business Combination capital structure used elsewhere in this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Private Offerings for the years 2023-2025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94"/>
        <w:gridCol w:w="60"/>
        <w:gridCol w:w="1521"/>
        <w:gridCol w:w="60"/>
        <w:gridCol w:w="79"/>
        <w:gridCol w:w="1054"/>
        <w:gridCol w:w="60"/>
        <w:gridCol w:w="60"/>
        <w:gridCol w:w="86"/>
        <w:gridCol w:w="809"/>
        <w:gridCol w:w="60"/>
        <w:gridCol w:w="60"/>
        <w:gridCol w:w="60"/>
        <w:gridCol w:w="1400"/>
        <w:gridCol w:w="60"/>
        <w:gridCol w:w="60"/>
        <w:gridCol w:w="2422"/>
      </w:tblGrid>
      <w:tr>
        <w:trPr/>
        <w:tc>
          <w:tcPr>
            <w:tcW w:w="2294" w:type="dxa"/>
            <w:tcBorders>
              <w:bottom w:val="single" w:sz="8" w:space="0" w:color="000000"/>
            </w:tcBorders>
            <w:vAlign w:val="center"/>
          </w:tcPr>
          <w:p>
            <w:pPr>
              <w:pStyle w:val="TableContents"/>
              <w:bidi w:val="0"/>
              <w:spacing w:before="0" w:after="283"/>
              <w:jc w:val="left"/>
              <w:rPr>
                <w:b/>
              </w:rPr>
            </w:pPr>
            <w:r>
              <w:rPr>
                <w:b/>
              </w:rPr>
              <w:t>Date registered with Swiss Share register</w:t>
            </w:r>
          </w:p>
        </w:tc>
        <w:tc>
          <w:tcPr>
            <w:tcW w:w="60" w:type="dxa"/>
            <w:tcBorders/>
            <w:tcMar>
              <w:bottom w:w="0" w:type="dxa"/>
            </w:tcMar>
            <w:vAlign w:val="center"/>
          </w:tcPr>
          <w:p>
            <w:pPr>
              <w:pStyle w:val="TableContents"/>
              <w:bidi w:val="0"/>
              <w:spacing w:before="0" w:after="283"/>
              <w:jc w:val="left"/>
              <w:rPr/>
            </w:pPr>
            <w:r>
              <w:rPr/>
              <w:t> </w:t>
            </w:r>
          </w:p>
        </w:tc>
        <w:tc>
          <w:tcPr>
            <w:tcW w:w="1521" w:type="dxa"/>
            <w:tcBorders>
              <w:bottom w:val="single" w:sz="8" w:space="0" w:color="000000"/>
            </w:tcBorders>
            <w:vAlign w:val="center"/>
          </w:tcPr>
          <w:p>
            <w:pPr>
              <w:pStyle w:val="TableContents"/>
              <w:bidi w:val="0"/>
              <w:spacing w:before="0" w:after="283"/>
              <w:jc w:val="center"/>
              <w:rPr>
                <w:b/>
              </w:rPr>
            </w:pPr>
            <w:r>
              <w:rPr>
                <w:b/>
              </w:rPr>
              <w:t>Security</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8" w:space="0" w:color="000000"/>
            </w:tcBorders>
            <w:vAlign w:val="center"/>
          </w:tcPr>
          <w:p>
            <w:pPr>
              <w:pStyle w:val="TableContents"/>
              <w:bidi w:val="0"/>
              <w:spacing w:before="0" w:after="283"/>
              <w:jc w:val="center"/>
              <w:rPr>
                <w:b/>
              </w:rPr>
            </w:pPr>
            <w:r>
              <w:rPr>
                <w:b/>
              </w:rPr>
              <w:t>Number issued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Price per</w:t>
              <w:br/>
              <w:t>Share (CHF)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spacing w:before="0" w:after="283"/>
              <w:jc w:val="center"/>
              <w:rPr>
                <w:b/>
              </w:rPr>
            </w:pPr>
            <w:r>
              <w:rPr>
                <w:b/>
              </w:rPr>
              <w:t>Total</w:t>
              <w:br/>
              <w:t>Consideration</w:t>
              <w:br/>
              <w:t>(CHF)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22" w:type="dxa"/>
            <w:tcBorders>
              <w:bottom w:val="single" w:sz="8" w:space="0" w:color="000000"/>
            </w:tcBorders>
            <w:vAlign w:val="center"/>
          </w:tcPr>
          <w:p>
            <w:pPr>
              <w:pStyle w:val="TableContents"/>
              <w:bidi w:val="0"/>
              <w:spacing w:before="0" w:after="283"/>
              <w:jc w:val="center"/>
              <w:rPr>
                <w:b/>
              </w:rPr>
            </w:pPr>
            <w:r>
              <w:rPr>
                <w:b/>
              </w:rPr>
              <w:t>Purchaser</w:t>
            </w:r>
          </w:p>
        </w:tc>
      </w:tr>
      <w:tr>
        <w:trPr/>
        <w:tc>
          <w:tcPr>
            <w:tcW w:w="2294" w:type="dxa"/>
            <w:tcBorders/>
            <w:shd w:fill="CCEEFF" w:val="clear"/>
            <w:tcMar>
              <w:bottom w:w="0" w:type="dxa"/>
            </w:tcMar>
            <w:vAlign w:val="center"/>
          </w:tcPr>
          <w:p>
            <w:pPr>
              <w:pStyle w:val="TableContents"/>
              <w:bidi w:val="0"/>
              <w:spacing w:before="0" w:after="283"/>
              <w:jc w:val="left"/>
              <w:rPr/>
            </w:pPr>
            <w:r>
              <w:rPr/>
              <w:t>21.11.2025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34,682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47.17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1,635,931.60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27.08.2025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27.08.2025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186,744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4,874,018.40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13.09.2024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78,203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1,723,028.40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30.05.2024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25,830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588,924.00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30.05.2024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140,400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140,400.00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11.01.2024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528,543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12,050,780.40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 (Acquisition of Synimmune GmbH)</w:t>
            </w:r>
          </w:p>
        </w:tc>
      </w:tr>
      <w:tr>
        <w:trPr/>
        <w:tc>
          <w:tcPr>
            <w:tcW w:w="2294" w:type="dxa"/>
            <w:tcBorders/>
            <w:shd w:fill="FFFFFF" w:val="clear"/>
            <w:tcMar>
              <w:bottom w:w="0" w:type="dxa"/>
            </w:tcMar>
            <w:vAlign w:val="center"/>
          </w:tcPr>
          <w:p>
            <w:pPr>
              <w:pStyle w:val="TableContents"/>
              <w:bidi w:val="0"/>
              <w:spacing w:before="0" w:after="283"/>
              <w:jc w:val="left"/>
              <w:rPr/>
            </w:pPr>
            <w:r>
              <w:rPr/>
              <w:t>16.10.2023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4,400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100,320.00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08.08.2023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416,057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9,486,099.60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06.06.2023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263,050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5,997,540.00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their shareholders, for a fixed term ending on December 31, 2025. Under the terms of the agreement, Xlife Sciences AG agreed to lend the Company up to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2025 to October 2025 the Company entered into subscription agreements for an offering of registered shares with various investors and sold 34,682 shares at an average purchase price of CHF 47.17 per unit. The notary process for this capital increase is currently in progress. The purchasing amount will be offset against the corresponding liability to Xlife Sciences out of the Share Lending Agreement for the shares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2024 to May 2025 the Company entered into subscription agreements for an offering of registered shares with Xlife Sciences AG and sold 186,744 shares at a purchase price of CHF 26.10 per unit. The purchasing amount was offset against a liability to Xlife Sciences out of the Share Lending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II-2</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PubCo Formation and Business Combination-related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PubCo, which was formed for purposes of the Business Combination, issued 100,000 Ordinary Shares for aggregate consideration of CHF 100,000. PubCo was incorporated under Swiss law solely for the purpose of effectuating the Business Combination, which was consummated on June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corporate restructuring and merger of legacy Veraxa Biotech AG into PubCo, PubCo effected a share split of its initial share capital of CHF 100,000 into 11,325,000 shares, increased its share capital by CHF 1,147,904, and issued 130,000,128 new PubCo Ordinary Shares to legacy Veraxa Biotech AG shareholders in exchange for 14,751,067 legacy Veraxa Biotech AG shares, at an exchange ratio of 8.81293 new shares per legacy Veraxa Biotech AG share. No cash compensation or special advantages were granted in the share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registration statement on Form F-4 relating to the Business Combination constituted a prospectus of PubCo under Section 5 of the Securities Act with respect to, among other securities, Ordinary Shares to be issued to legacy Veraxa Biotech AG shareholders, Earnout Shares to be issued to legacy Veraxa Biotech AG shareholders, Ordinary Shares to be issued to SPAC shareholders, and Warrants to be issued to SPAC warrant holders. Accordingly, any securities issued pursuant to the Form F-4 registration statement are excluded from this Item 7 to the extent they were registered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Trail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the High Trail Affiliated Entities entered into a Securities Purchase Agreement in respect of a private placement of a senior secured note in the principal amount of $27.5 million and a four-year warrant for an aggregate exercise price of $27.5 million, with an initial exercise price of $11.50 per share, subject to customary anti-dilution protections. The closing of the HTC Financing occurred on June 15, 2026, and funding occurred concurrently with the closing of the HTC Financing. The warrant issued in the HTC Financing reflects 2,391,305 Ordinary Shares underlying such warrant. Up to 11,000,000 Ordinary Shares are registered for resale pursuant to the HTC Note and the High Trail Warrant issued in the HTC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Lincoln Park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Lincoln Park entered into a purchase agreement and related registration rights agreement, pursuant to which Lincoln Park committed, subject to certain conditions and limitations, to purchase up to an aggregate of $50.0 million of our Ordinary Shares over a 24-month period at market-based purchase prices. The Lincoln Park purchase agreement includes a 4.99% beneficial ownership cap, which may be increased to 9.99% upon 61 days’ prior written notice. As consideration for Lincoln Park’s commitment, we agreed to issue to Lincoln Park $750,000 of Ordinary Shares. On July 30, 2026, we issued 340,910 Commitment Shares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Cantor Fee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Cantor Fitzgerald &amp; Co. entered into the Fee Modification Agreement. Under the Fee Modification Agreement, the original deferred fee was modified to include, in part, 3,500,000 shares to be registered hereunder. On July 30, 2026, we issued 3,500,000 Ordinary Shares to Cantor Fitzgerald &amp; Co. pursuant to the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Voyager Acquisition Corp. Predecessor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SPAC issued Founder Shares and Private Warrants in private transactions. During 2024, SPAC issued 5,750,000 SPAC Class B Ordinary Shares to the Sponsor on January 11, 2024 for $25,000, issued 1,725,000 additional SPAC Class B Ordinary Shares on February 16, 2024 for no additional consideration, issued 28,750 additional SPAC Class B Ordinary Shares to the Sponsor on May 31, 2024, and forfeited 1,178,750 SPAC Class B Ordinary Shares on July 19, 2024, resulting in 6,325,000 Founder Shares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SPAC IPO on August 8, 2024, the SPAC completed the private sale of 7,665,000 Private Warrants at a purchase price of $1.00 per Private Warrant, generating gross proceeds of $7.665 million. In that private placement, the sponsor purchased 5,037,500 Private Warrants, and Cantor Fitzgerald &amp; Co. and Odeon Capital Group LLC purchased 2,627,500 Private Warrants. Each Private Warrant is exercisable for one Ordinary Share at an exercise price of $11.50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SPAC assigned its rights under the Warrant Agreement to the Company, and the Company assumed the Warrants provided for under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II-3</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registration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registration statement: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6"/>
        <w:gridCol w:w="60"/>
        <w:gridCol w:w="9219"/>
      </w:tblGrid>
      <w:tr>
        <w:trPr/>
        <w:tc>
          <w:tcPr>
            <w:tcW w:w="9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April 22, 2025, by and among Voyager Acquisition Corp., Veraxa Biotech AG and Oliver Baumann (incorporated by reference to Exhibit 2.1 to SPAC’s Current Report on Form 8-K (File No. 001-42211) filed with the SEC on April 23, 2025)</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to Business Combination Agreement, dated October 18, 2025, by and among Voyager Acquisition Corp., Veraxa Biotech AG, and Oliver Baumann (incorporated by reference to Exhibit 2.1 to SPAC’s Current Report on Form 8-K (File No. 001-42211) filed with the SEC on October 21, 2025)</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Second Amendment and Waiver to Business Combination Agreement, dated February 2, 2026, by and among Voyager Acquisition Corp., Veraxa Biotech AG, and Oliver Baumann (incorporated by reference to Exhibit 2.1 to SPAC’s Current Report on Form 8-K (File No. 001-42211) filed with the SEC on February 3,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Articles of Association of Veraxa Biotech AG (Company Articles) (incorporated by reference to Exhibit 99.2 of the Company’s Report on Form 6-K (File No. 001-43342) filed with the SEC on July 27, 2026)</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Description of Securities (incorporated by reference to Exhibit 2.1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Warrant Agreement, dated August 8, 2024, by and between Voyager Acquisition Corp. and Continental Stock Transfer &amp; Trust Company (incorporated by reference to Exhibit 4.1 to SPAC’s Current Report on Form 8-K (File No. 001-42211) filed with the SEC on August 14, 2024)</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and Voyager Sponsor Acquisition Holdco LLC (incorporated by reference to Exhibit 10.4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Cantor Fitzgerald &amp; Co. and Odeon Capital Group LLC (incorporated by reference to Exhibit 10.5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Warrant Assignment, Assumption and Amendment Agreement, dated June 10, 2026, by and among Voyager Acquisition Corp., Veraxa Biotech Holding AG and Continental Stock Transfer &amp; Trust Company (incorporated by reference to Exhibit 2.5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w:anchor="veraxabiotech_ex5-1.htm">
              <w:r>
                <w:rPr>
                  <w:rStyle w:val="InternetLink"/>
                  <w:rFonts w:ascii="Times New Roman;Times;Serif" w:hAnsi="Times New Roman;Times;Serif"/>
                  <w:b w:val="false"/>
                  <w:i w:val="false"/>
                  <w:caps w:val="false"/>
                  <w:smallCaps w:val="false"/>
                  <w:sz w:val="20"/>
                </w:rPr>
                <w:t>Opinion of Walder Wyss Ltd.</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w:anchor="veraxabiotech_ex5-2.htm">
              <w:r>
                <w:rPr>
                  <w:rStyle w:val="InternetLink"/>
                  <w:rFonts w:ascii="Times New Roman;Times;Serif" w:hAnsi="Times New Roman;Times;Serif"/>
                  <w:b w:val="false"/>
                  <w:i w:val="false"/>
                  <w:caps w:val="false"/>
                  <w:smallCaps w:val="false"/>
                  <w:sz w:val="20"/>
                </w:rPr>
                <w:t>Opinion of Katten Muchin Rosenman LLP</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Joinder Agreement, dated July 26, 2025, by and among Voyager Acquisition Corp., Veraxa Biotech AG, Oliver Baumann, Veraxa Biotech Holding AG and Veraxa Cayman Merger Sub (incorporated by reference to Exhibit 10.1 of SPAC’s Current Report on Form 8-K (File No. 001-42211) filed with the SEC on July 16, 2025).</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Sponsor Support Agreement, dated April 22, 2025, by and among Voyager Acquisition Corp., Veraxa Biotech AG and Voyager Acquisition Sponsor Holdco LLC (incorporated by reference to Exhibit 10.2 to SPAC’s Current Report on Form 8-K (File No. 001-42211) filed with the SEC on April 23,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II-4</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7"/>
        <w:gridCol w:w="60"/>
        <w:gridCol w:w="9238"/>
      </w:tblGrid>
      <w:tr>
        <w:trPr/>
        <w:tc>
          <w:tcPr>
            <w:tcW w:w="90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First Amendment to Sponsor Support Agreement, dated February 2, 2026, by and among Voyager Acquisition Corp., Veraxa Biotech AG and Voyager Acquisition Sponsor Holdco LLC (incorporated by reference to Exhibit 10.1 to SPAC’s Current Report on Form 8-K (File No. 001-42211) filed on February 3,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Second Amendment to Sponsor Support Agreement, dated May 7, 2026, by and among Voyager Acquisition Corp., Veraxa Biotech AG and Voyager Acquisition Sponsor Holdco LLC. (incorporated by reference to Exhibit 4.7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Voting, Support and Lock-Up Agreement, dated as of April 22, 2025 by and among Voyager Acquisition Corp., Voyager Acquisition Sponsor Holdco, LLC and Veraxa Biotech AG (incorporated by reference to Exhibit 10.1 SPAC’s Current Report on Form 8-K (File No. 001-42211) filed on April 23, 2025)</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First Amendment to Voting, Support and Lock-Up Agreement, dated February 12, 2026, by and among Voyager Acquisition Corp., Voyager Acquisition Sponsor Holdco, LLC and Veraxa Biotech AG (incorporated by reference to Exhibit 10.22 the Company’s Registration Statement on Form F-4/A filed on February 13,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Securities Purchase Agreement, dated May 27, 2026, by and among Veraxa Biotech Holding AG, Veraxa Biotech AG, Voyager Acquisition Corp. and the investors listed therein (incorporated by reference to Exhibit 10.1 to SPAC’s Current Report on Form 8-K (File No. 001-42211) filed on May 29,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Senior Secured Note due 2027, dated June 15, 2026 (incorporated by reference to Exhibit 4.11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Warrant to Purchase Ordinary Shares of the Company, dated June 15, 2026 (incorporated by reference to Exhibit 4.12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Purchase Agreement, dated May 27, 2026, by and among Voyager Acquisition Corp., Veraxa Biotech Holding AG, and Lincoln Park Capital Fund, LLC (incorporated by reference to Exhibit 10.4 to SPAC’s Form 8-K filed May 29,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(incorporated by reference to Exhibit 4.13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List of Subsidiaries of the Registrant (incorporated by reference to Exhibit 8.1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Consent of WithumSmith+Brown, PC, independent registered public accounting firm for Voyager Acquisition Corp.</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Consent of Grassi &amp; Co., CPAs, P.C., independent registered accounting firm for Veraxa Biotech AG</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Consent of Grassi &amp; Co., CPAs, P.C., independent registered accounting firm for Veraxa Biotech Holding AG</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5-1.htm">
              <w:r>
                <w:rPr>
                  <w:rStyle w:val="InternetLink"/>
                  <w:rFonts w:ascii="Times New Roman;Times;Serif" w:hAnsi="Times New Roman;Times;Serif"/>
                  <w:b w:val="false"/>
                  <w:i w:val="false"/>
                  <w:caps w:val="false"/>
                  <w:smallCaps w:val="false"/>
                  <w:sz w:val="20"/>
                </w:rPr>
                <w:t>Consent of Walder Wyss Ltd. (included in Exhibit 5.1)</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w:anchor="veraxabiotech_ex5-2.htm">
              <w:r>
                <w:rPr>
                  <w:rStyle w:val="InternetLink"/>
                  <w:rFonts w:ascii="Times New Roman;Times;Serif" w:hAnsi="Times New Roman;Times;Serif"/>
                  <w:b w:val="false"/>
                  <w:i w:val="false"/>
                  <w:caps w:val="false"/>
                  <w:smallCaps w:val="false"/>
                  <w:sz w:val="20"/>
                </w:rPr>
                <w:t>Consent of Katten Muchin Rosenman LLP (included in Exhibit 5.2)</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poa">
              <w:r>
                <w:rPr>
                  <w:rStyle w:val="InternetLink"/>
                  <w:rFonts w:ascii="Times New Roman;Times;Serif" w:hAnsi="Times New Roman;Times;Serif"/>
                  <w:b w:val="false"/>
                  <w:i w:val="false"/>
                  <w:caps w:val="false"/>
                  <w:smallCaps w:val="false"/>
                  <w:sz w:val="20"/>
                </w:rPr>
                <w:t>Power of Attorney (included on signature page to the initial filing of the Registration Statement).</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Filing Fee Table</w:t>
              </w:r>
            </w:hyperlink>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Previously filed.</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Filed herewith.</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Schedules and exhibits to this Exhibit omitted pursuant to Regulation S-K Item 601(a)(5). The Registrant agrees to furnish supplementally a copy of any omitted schedule or exhibit to the SEC upon request.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II-5</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tc>
      </w:tr>
    </w:tbl>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230"/>
        <w:gridCol w:w="3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3830" w:type="dxa"/>
            <w:tcBorders/>
            <w:vAlign w:val="center"/>
          </w:tcPr>
          <w:p>
            <w:pPr>
              <w:pStyle w:val="TableContents"/>
              <w:bidi w:val="0"/>
              <w:spacing w:before="0" w:after="283"/>
              <w:jc w:val="both"/>
              <w:rPr/>
            </w:pPr>
            <w:r>
              <w:rPr/>
              <w:t>if the registrant is relying on Rule 430B;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II-6</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II-7</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both"/>
              <w:rPr/>
            </w:pPr>
            <w:r>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II-8</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Zurich, Switzerland, on August 5, 2026.</w:t>
      </w:r>
    </w:p>
    <w:p>
      <w:pPr>
        <w:pStyle w:val="TextBody"/>
        <w:bidi w:val="0"/>
        <w:spacing w:before="0" w:after="0"/>
        <w:ind w:left="0" w:right="0" w:hanging="0"/>
        <w:jc w:val="both"/>
        <w:rPr>
          <w:caps w:val="false"/>
          <w:smallCaps w:val="false"/>
        </w:rPr>
      </w:pPr>
      <w:r>
        <w:rPr>
          <w:caps w:val="false"/>
          <w:smallCaps w:val="false"/>
        </w:rPr>
        <w:t> </w:t>
      </w:r>
    </w:p>
    <w:tbl>
      <w:tblPr>
        <w:tblW w:w="7335" w:type="dxa"/>
        <w:jc w:val="left"/>
        <w:tblInd w:w="0" w:type="dxa"/>
        <w:tblLayout w:type="fixed"/>
        <w:tblCellMar>
          <w:top w:w="0" w:type="dxa"/>
          <w:left w:w="0" w:type="dxa"/>
          <w:bottom w:w="28" w:type="dxa"/>
          <w:right w:w="0" w:type="dxa"/>
        </w:tblCellMar>
      </w:tblPr>
      <w:tblGrid>
        <w:gridCol w:w="2180"/>
        <w:gridCol w:w="60"/>
        <w:gridCol w:w="3530"/>
        <w:gridCol w:w="60"/>
        <w:gridCol w:w="1505"/>
      </w:tblGrid>
      <w:tr>
        <w:trPr/>
        <w:tc>
          <w:tcPr>
            <w:tcW w:w="2180"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353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505" w:type="dxa"/>
            <w:tcBorders>
              <w:bottom w:val="single" w:sz="8" w:space="0" w:color="000000"/>
            </w:tcBorders>
            <w:vAlign w:val="center"/>
          </w:tcPr>
          <w:p>
            <w:pPr>
              <w:pStyle w:val="TableContents"/>
              <w:bidi w:val="0"/>
              <w:spacing w:before="0" w:after="283"/>
              <w:jc w:val="center"/>
              <w:rPr>
                <w:b/>
              </w:rPr>
            </w:pPr>
            <w:r>
              <w:rPr>
                <w:b/>
              </w:rPr>
              <w:t>Date</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2180"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poa"/>
      <w:bookmarkEnd w:id="22"/>
      <w:r>
        <w:rPr>
          <w:rFonts w:ascii="Times New Roman;Times;Serif" w:hAnsi="Times New Roman;Times;Serif"/>
          <w:b/>
          <w:i w:val="false"/>
          <w:caps w:val="false"/>
          <w:smallCaps w:val="false"/>
          <w:sz w:val="20"/>
        </w:rPr>
        <w:t>POWER OF ATTORNEY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Christoph Antz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81"/>
        <w:gridCol w:w="60"/>
        <w:gridCol w:w="4804"/>
        <w:gridCol w:w="60"/>
        <w:gridCol w:w="1500"/>
      </w:tblGrid>
      <w:tr>
        <w:trPr/>
        <w:tc>
          <w:tcPr>
            <w:tcW w:w="3781"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804"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500" w:type="dxa"/>
            <w:tcBorders>
              <w:bottom w:val="single" w:sz="8" w:space="0" w:color="000000"/>
            </w:tcBorders>
            <w:vAlign w:val="center"/>
          </w:tcPr>
          <w:p>
            <w:pPr>
              <w:pStyle w:val="TableContents"/>
              <w:bidi w:val="0"/>
              <w:spacing w:before="0" w:after="283"/>
              <w:jc w:val="center"/>
              <w:rPr>
                <w:b/>
              </w:rPr>
            </w:pPr>
            <w:r>
              <w:rPr>
                <w:b/>
              </w:rPr>
              <w:t>Date</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Oliver Baumann</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Interim Chief Financial Officer (Principal Financial</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Carl von Halem</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Marc Grüninger</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Warren Hosseinion</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Christoph Ziegler</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left"/>
              <w:rPr/>
            </w:pPr>
            <w:r>
              <w:rPr/>
              <w:t xml:space="preserve">*By: </w:t>
            </w: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Christoph Antz, Attorney-in-fact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II-9</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6(a) of the Securities Act of 1933, the undersigned has signed this Registration Statement, in the capacity of the duly authorized representative of the Registrant in the United States, on August 5, 2026.</w:t>
      </w:r>
    </w:p>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65"/>
        <w:gridCol w:w="4970"/>
        <w:gridCol w:w="75"/>
      </w:tblGrid>
      <w:tr>
        <w:trPr/>
        <w:tc>
          <w:tcPr>
            <w:tcW w:w="5635" w:type="dxa"/>
            <w:gridSpan w:val="2"/>
            <w:tcBorders/>
            <w:vAlign w:val="center"/>
          </w:tcPr>
          <w:p>
            <w:pPr>
              <w:pStyle w:val="TableContents"/>
              <w:bidi w:val="0"/>
              <w:spacing w:before="0" w:after="283"/>
              <w:jc w:val="left"/>
              <w:rPr>
                <w:b/>
              </w:rPr>
            </w:pPr>
            <w:r>
              <w:rPr>
                <w:b/>
              </w:rPr>
              <w:t>Cogency Global Inc.</w:t>
            </w:r>
          </w:p>
        </w:tc>
        <w:tc>
          <w:tcPr>
            <w:tcW w:w="75" w:type="dxa"/>
            <w:tcBorders/>
            <w:vAlign w:val="center"/>
          </w:tcPr>
          <w:p>
            <w:pPr>
              <w:pStyle w:val="TableContents"/>
              <w:bidi w:val="0"/>
              <w:spacing w:before="0" w:after="283"/>
              <w:jc w:val="left"/>
              <w:rPr/>
            </w:pPr>
            <w:r>
              <w:rPr/>
              <w:t> </w:t>
            </w:r>
          </w:p>
        </w:tc>
      </w:tr>
      <w:tr>
        <w:trPr/>
        <w:tc>
          <w:tcPr>
            <w:tcW w:w="5635" w:type="dxa"/>
            <w:gridSpan w:val="2"/>
            <w:tcBorders/>
            <w:vAlign w:val="center"/>
          </w:tcPr>
          <w:p>
            <w:pPr>
              <w:pStyle w:val="TableContents"/>
              <w:bidi w:val="0"/>
              <w:spacing w:before="0" w:after="283"/>
              <w:jc w:val="left"/>
              <w:rPr/>
            </w:pPr>
            <w:r>
              <w:rPr/>
              <w:t>as authorized representative for Veraxa Biotech AG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4970" w:type="dxa"/>
            <w:tcBorders>
              <w:bottom w:val="single" w:sz="8" w:space="0" w:color="000000"/>
            </w:tcBorders>
            <w:tcMar>
              <w:bottom w:w="28" w:type="dxa"/>
            </w:tcMar>
            <w:vAlign w:val="center"/>
          </w:tcPr>
          <w:p>
            <w:pPr>
              <w:pStyle w:val="TableContents"/>
              <w:bidi w:val="0"/>
              <w:spacing w:before="0" w:after="283"/>
              <w:jc w:val="left"/>
              <w:rPr>
                <w:i/>
              </w:rPr>
            </w:pPr>
            <w:r>
              <w:rPr>
                <w:i/>
              </w:rPr>
              <w:t>/s/ 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4970" w:type="dxa"/>
            <w:tcBorders/>
            <w:vAlign w:val="center"/>
          </w:tcPr>
          <w:p>
            <w:pPr>
              <w:pStyle w:val="TableContents"/>
              <w:bidi w:val="0"/>
              <w:spacing w:before="0" w:after="283"/>
              <w:jc w:val="left"/>
              <w:rPr/>
            </w:pPr>
            <w:r>
              <w:rPr/>
              <w:t>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4970" w:type="dxa"/>
            <w:tcBorders/>
            <w:vAlign w:val="center"/>
          </w:tcPr>
          <w:p>
            <w:pPr>
              <w:pStyle w:val="TableContents"/>
              <w:bidi w:val="0"/>
              <w:spacing w:before="0" w:after="283"/>
              <w:jc w:val="left"/>
              <w:rPr/>
            </w:pPr>
            <w:r>
              <w:rPr/>
              <w:t>Sr. Vice President on behalf of Cogency Global Inc.</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II-10</w:t>
      </w:r>
    </w:p>
    <w:p>
      <w:pPr>
        <w:pStyle w:val="TextBody"/>
        <w:bidi w:val="0"/>
        <w:spacing w:before="0" w:after="0"/>
        <w:jc w:val="both"/>
        <w:rPr>
          <w:caps w:val="false"/>
          <w:smallCaps w:val="false"/>
        </w:rPr>
      </w:pPr>
      <w:bookmarkStart w:id="23" w:name="veraxabiotech_ex5-1.htm"/>
      <w:bookmarkStart w:id="24" w:name="ksveraxabiotech_ex5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both"/>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5325"/>
        <w:gridCol w:w="2690"/>
      </w:tblGrid>
      <w:tr>
        <w:trPr/>
        <w:tc>
          <w:tcPr>
            <w:tcW w:w="5325" w:type="dxa"/>
            <w:tcBorders/>
            <w:vAlign w:val="center"/>
          </w:tcPr>
          <w:p>
            <w:pPr>
              <w:pStyle w:val="TableContents"/>
              <w:bidi w:val="0"/>
              <w:jc w:val="left"/>
              <w:rPr/>
            </w:pPr>
            <w:r>
              <w:rPr/>
              <w:drawing>
                <wp:inline distT="0" distB="0" distL="0" distR="0">
                  <wp:extent cx="333375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7"/>
                          <a:stretch>
                            <a:fillRect/>
                          </a:stretch>
                        </pic:blipFill>
                        <pic:spPr bwMode="auto">
                          <a:xfrm>
                            <a:off x="0" y="0"/>
                            <a:ext cx="3333750" cy="257175"/>
                          </a:xfrm>
                          <a:prstGeom prst="rect">
                            <a:avLst/>
                          </a:prstGeom>
                        </pic:spPr>
                      </pic:pic>
                    </a:graphicData>
                  </a:graphic>
                </wp:inline>
              </w:drawing>
            </w:r>
            <w:r>
              <w:rPr/>
              <w:t xml:space="preserve">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br/>
              <w:t>Talacker 35</w:t>
              <w:br/>
              <w:t>8001 Zurich</w:t>
              <w:br/>
              <w:t>Switzerland</w:t>
            </w:r>
          </w:p>
        </w:tc>
        <w:tc>
          <w:tcPr>
            <w:tcW w:w="26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Walder Wyss Ltd.</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Seefeldstrasse 123</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P.O. Box</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8034 Zurich</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Switzerland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Telephone +41 58 658 58 58</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Fax +41 58 658 59 59</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www.walderwyss.com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Thiemo Sturny</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Partner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Dr. iur., LL.M., Attorney at Law</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 +41 58 658 52 92</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thiemo.sturny@walderwyss.com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Marius Breier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Partner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 HSG in Accounting and Finance</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Certified Tax Expert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 +41 58 658 56 58</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marius.breier@walderwyss.com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Zurich, August 05,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 Registration Statement on Form F-1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Madams, dear Sirs,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special Swiss legal counsel to Veraxa Biotech AG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 stock corporation incorporated under the laws of Switzerland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with a share capital of CHF 1,248,634.1103752759381898, divided into 141,407,813 common shares with a nominal value of CHF 100/11,325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in connection with the filing of a Registration Statement on Form F-1, filed on or around the date hereof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including the accompanying prospectus set forth therein,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for the purpose of registering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61"/>
        <w:gridCol w:w="9921"/>
      </w:tblGrid>
      <w:tr>
        <w:trPr/>
        <w:tc>
          <w:tcPr>
            <w:tcW w:w="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both"/>
              <w:rPr/>
            </w:pPr>
            <w:r>
              <w:rPr/>
              <w:t>(a)</w:t>
            </w:r>
          </w:p>
        </w:tc>
        <w:tc>
          <w:tcPr>
            <w:tcW w:w="9921" w:type="dxa"/>
            <w:tcBorders/>
            <w:vAlign w:val="center"/>
          </w:tcPr>
          <w:p>
            <w:pPr>
              <w:pStyle w:val="TableContents"/>
              <w:bidi w:val="0"/>
              <w:spacing w:before="0" w:after="283"/>
              <w:jc w:val="both"/>
              <w:rPr/>
            </w:pPr>
            <w:r>
              <w:rPr/>
              <w:t>The issuance by the Company of up to 19,436,739 common shares, par value CHF 100/11,325 (</w:t>
            </w:r>
            <w:r>
              <w:rPr>
                <w:b/>
              </w:rPr>
              <w:t>Warrant Shares</w:t>
            </w:r>
            <w:r>
              <w:rPr/>
              <w:t>), including: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both"/>
              <w:rPr/>
            </w:pPr>
            <w:r>
              <w:rPr/>
              <w:t>(i)</w:t>
            </w:r>
          </w:p>
        </w:tc>
        <w:tc>
          <w:tcPr>
            <w:tcW w:w="9999" w:type="dxa"/>
            <w:tcBorders/>
            <w:vAlign w:val="center"/>
          </w:tcPr>
          <w:p>
            <w:pPr>
              <w:pStyle w:val="TableContents"/>
              <w:bidi w:val="0"/>
              <w:spacing w:before="0" w:after="283"/>
              <w:jc w:val="both"/>
              <w:rPr/>
            </w:pPr>
            <w:r>
              <w:rPr/>
              <w:t xml:space="preserve">12,650,000 common shares issuable upon the exercise of the public warrants to purchase common shares at an exercise price of USD 11.50 per share, which were issued on June 10, 2026 (the </w:t>
            </w:r>
            <w:r>
              <w:rPr>
                <w:b/>
              </w:rPr>
              <w:t>Closing Date</w:t>
            </w:r>
            <w:r>
              <w:rPr/>
              <w:t>), in exchange for the SPAC public warrants;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(ii)</w:t>
            </w:r>
          </w:p>
        </w:tc>
        <w:tc>
          <w:tcPr>
            <w:tcW w:w="9939" w:type="dxa"/>
            <w:tcBorders/>
            <w:vAlign w:val="center"/>
          </w:tcPr>
          <w:p>
            <w:pPr>
              <w:pStyle w:val="TableContents"/>
              <w:bidi w:val="0"/>
              <w:spacing w:before="0" w:after="283"/>
              <w:jc w:val="both"/>
              <w:rPr/>
            </w:pPr>
            <w:r>
              <w:rPr/>
              <w:t>6,786,739 common shares issuable upon the exercise of the Private Warrants (as defined below), to purchase common shares at an exercise price of USD 11.50 per share, which were issued on the Closing Date in exchange for the SPAC private warrants; and</w:t>
            </w:r>
          </w:p>
        </w:tc>
      </w:tr>
    </w:tbl>
    <w:p>
      <w:pPr>
        <w:pStyle w:val="TextBody"/>
        <w:bidi w:val="0"/>
        <w:spacing w:before="0" w:after="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970"/>
        <w:gridCol w:w="935"/>
      </w:tblGrid>
      <w:tr>
        <w:trPr/>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admitted in Switzerland or in a EU/EFTA state are registered with the attorneys’ registry</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(b)</w:t>
            </w:r>
          </w:p>
        </w:tc>
        <w:tc>
          <w:tcPr>
            <w:tcW w:w="9957" w:type="dxa"/>
            <w:tcBorders/>
            <w:vAlign w:val="center"/>
          </w:tcPr>
          <w:p>
            <w:pPr>
              <w:pStyle w:val="TableContents"/>
              <w:bidi w:val="0"/>
              <w:spacing w:before="0" w:after="283"/>
              <w:jc w:val="both"/>
              <w:rPr/>
            </w:pPr>
            <w:r>
              <w:rPr/>
              <w:t xml:space="preserve">the potential offer and sale from time to time by the selling securityholders named in this Registration Statement or their pledgees, donees, transferees, assignees or other successors in interest (that receive any of the securities as a gift, distribution, or other non-sale related transfer) (collectively, the </w:t>
            </w:r>
            <w:r>
              <w:rPr>
                <w:b/>
              </w:rPr>
              <w:t>Selling Securityholders</w:t>
            </w:r>
            <w:r>
              <w:rPr/>
              <w:t xml:space="preserve">) of up to (i) 6,786,739 private warrants (the </w:t>
            </w:r>
            <w:r>
              <w:rPr>
                <w:b/>
              </w:rPr>
              <w:t>Private Warrants</w:t>
            </w:r>
            <w:r>
              <w:rPr/>
              <w:t xml:space="preserve">) pursuant to that certain warrant agreement between Voyager Acquisition Corp and Continental Stock Transfer &amp; Trust Company (later assumed by the Company) dated 8 August 2024 (the </w:t>
            </w:r>
            <w:r>
              <w:rPr>
                <w:b/>
              </w:rPr>
              <w:t>Warrant Agreement</w:t>
            </w:r>
            <w:r>
              <w:rPr/>
              <w:t>) and (ii) 120,295,385 common shares, which consist of:</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pPr>
            <w:r>
              <w:rPr/>
              <w:t>(i)</w:t>
            </w:r>
          </w:p>
        </w:tc>
        <w:tc>
          <w:tcPr>
            <w:tcW w:w="9963" w:type="dxa"/>
            <w:tcBorders/>
            <w:vAlign w:val="center"/>
          </w:tcPr>
          <w:p>
            <w:pPr>
              <w:pStyle w:val="TableContents"/>
              <w:bidi w:val="0"/>
              <w:spacing w:before="0" w:after="283"/>
              <w:jc w:val="both"/>
              <w:rPr/>
            </w:pPr>
            <w:r>
              <w:rPr/>
              <w:t>6,100,000 outstanding common shares issued upon conversion on a one-for-one basis of SPAC class B ordinary shares;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62"/>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(ii)</w:t>
            </w:r>
          </w:p>
        </w:tc>
        <w:tc>
          <w:tcPr>
            <w:tcW w:w="9920" w:type="dxa"/>
            <w:tcBorders/>
            <w:vAlign w:val="center"/>
          </w:tcPr>
          <w:p>
            <w:pPr>
              <w:pStyle w:val="TableContents"/>
              <w:bidi w:val="0"/>
              <w:spacing w:before="0" w:after="283"/>
              <w:jc w:val="both"/>
              <w:rPr/>
            </w:pPr>
            <w:r>
              <w:rPr/>
              <w:t>99,695,385 outstanding common shares issued to Company shareholders that are directors, officers and affiliates of the Company in the business combination;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97"/>
        <w:gridCol w:w="9885"/>
      </w:tblGrid>
      <w:tr>
        <w:trPr/>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both"/>
              <w:rPr/>
            </w:pPr>
            <w:r>
              <w:rPr/>
              <w:t>(iii)</w:t>
            </w:r>
          </w:p>
        </w:tc>
        <w:tc>
          <w:tcPr>
            <w:tcW w:w="9885" w:type="dxa"/>
            <w:tcBorders/>
            <w:vAlign w:val="center"/>
          </w:tcPr>
          <w:p>
            <w:pPr>
              <w:pStyle w:val="TableContents"/>
              <w:bidi w:val="0"/>
              <w:spacing w:before="0" w:after="283"/>
              <w:jc w:val="both"/>
              <w:rPr/>
            </w:pPr>
            <w:r>
              <w:rPr/>
              <w:t xml:space="preserve">3,500,000 common shares issued out of treasury to Cantor pursuant to the Fee Modification Agreement between the Company, Voyager Acquisition Corp and Cantor Fitzgerald &amp; Co., dated 27 May 2026 (as amended on 28 July 2026, the </w:t>
            </w:r>
            <w:r>
              <w:rPr>
                <w:b/>
              </w:rPr>
              <w:t>Fee Modification Agreement</w:t>
            </w:r>
            <w:r>
              <w:rPr/>
              <w:t xml:space="preserve">); ((i) to (iii) together, the </w:t>
            </w:r>
            <w:r>
              <w:rPr>
                <w:b/>
              </w:rPr>
              <w:t>Existing Shares</w:t>
            </w:r>
            <w:r>
              <w:rPr/>
              <w: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93"/>
        <w:gridCol w:w="9889"/>
      </w:tblGrid>
      <w:tr>
        <w:trPr/>
        <w:tc>
          <w:tcPr>
            <w:tcW w:w="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both"/>
              <w:rPr/>
            </w:pPr>
            <w:r>
              <w:rPr/>
              <w:t>(iv)</w:t>
            </w:r>
          </w:p>
        </w:tc>
        <w:tc>
          <w:tcPr>
            <w:tcW w:w="9889" w:type="dxa"/>
            <w:tcBorders/>
            <w:vAlign w:val="center"/>
          </w:tcPr>
          <w:p>
            <w:pPr>
              <w:pStyle w:val="TableContents"/>
              <w:bidi w:val="0"/>
              <w:spacing w:before="0" w:after="283"/>
              <w:jc w:val="both"/>
              <w:rPr/>
            </w:pPr>
            <w:r>
              <w:rPr/>
              <w:t xml:space="preserve">up to 11,000,000 common shares (together with the Warrant Shares, the </w:t>
            </w:r>
            <w:r>
              <w:rPr>
                <w:b/>
              </w:rPr>
              <w:t>New Shares</w:t>
            </w:r>
            <w:r>
              <w:rPr/>
              <w:t xml:space="preserve">) issuable upon exercise of the HTC note and the High Trail warrant under a certain Securities Purchase Agreement between the Company, Voyager Acquisition Corp, High Trail Special Situations II LLC and HT Investments MA LLC dated 27 May 2026 (the </w:t>
            </w:r>
            <w:r>
              <w:rPr>
                <w:b/>
              </w:rPr>
              <w:t>Securities Purchase Agreement</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been requested to give our opinion as to certain legal matters of Swiss law.</w:t>
      </w:r>
    </w:p>
    <w:p>
      <w:pPr>
        <w:pStyle w:val="TextBody"/>
        <w:bidi w:val="0"/>
        <w:spacing w:before="0" w:after="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66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 of opinion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confined to matters of Swiss law as in force at the date hereof and as it is presently applied by the Swiss Federal Supreme Court (</w:t>
      </w:r>
      <w:r>
        <w:rPr>
          <w:rFonts w:ascii="Times New Roman;Times;Serif" w:hAnsi="Times New Roman;Times;Serif"/>
          <w:b w:val="false"/>
          <w:i/>
          <w:caps w:val="false"/>
          <w:smallCaps w:val="false"/>
          <w:sz w:val="20"/>
        </w:rPr>
        <w:t>Schweizerisches Bundesgericht</w:t>
      </w:r>
      <w:r>
        <w:rPr>
          <w:rFonts w:ascii="Times New Roman;Times;Serif" w:hAnsi="Times New Roman;Times;Serif"/>
          <w:b w:val="false"/>
          <w:i w:val="false"/>
          <w:caps w:val="false"/>
          <w:smallCaps w:val="false"/>
          <w:sz w:val="20"/>
        </w:rPr>
        <w:t>) as published in its official collection (</w:t>
      </w:r>
      <w:r>
        <w:rPr>
          <w:rFonts w:ascii="Times New Roman;Times;Serif" w:hAnsi="Times New Roman;Times;Serif"/>
          <w:b w:val="false"/>
          <w:i/>
          <w:caps w:val="false"/>
          <w:smallCaps w:val="false"/>
          <w:sz w:val="20"/>
        </w:rPr>
        <w:t>amtliche Sammlung</w:t>
      </w:r>
      <w:r>
        <w:rPr>
          <w:rFonts w:ascii="Times New Roman;Times;Serif" w:hAnsi="Times New Roman;Times;Serif"/>
          <w:b w:val="false"/>
          <w:i w:val="false"/>
          <w:caps w:val="false"/>
          <w:smallCaps w:val="false"/>
          <w:sz w:val="20"/>
        </w:rPr>
        <w:t>). Such law and its interpretation are subject to change. In the absence of explicit statutory law or case law established by such court, we base our opinion solely on our independent professional judgment and it cannot be excluded that any Swiss court would apply a different interpretation. No opinion is expressed as to the laws of any country or jurisdiction, other than Switzerland.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limited to the Documents (as defined below) and the specific matters stated herein and is not to be read as extending, by implication or otherwise, to any agreement or document referred to in any of the Documents or any other matter.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opinion, we have not conducted any due diligence, verification or similar investigation as to any matters of facts or as to the truth, accuracy and completeness of the representations and warranties made in the Documents, and we do not express or imply any opinions thereon.</w:t>
      </w:r>
    </w:p>
    <w:p>
      <w:pPr>
        <w:pStyle w:val="TextBody"/>
        <w:bidi w:val="0"/>
        <w:spacing w:before="0" w:after="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495"/>
        <w:gridCol w:w="935"/>
      </w:tblGrid>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Business Combination</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23"/>
        <w:gridCol w:w="170"/>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5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this opinion, we have only examined the following documents (collectively,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23"/>
        <w:gridCol w:w="23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scanned copy (received by e-mail) of the executed Warrant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 an electronic copy of the to be executed warrant assignment, assumption and amendment agreement between Voyager Acquisition Corp, Continental Stock Transfer &amp; Trust Company and the Company dated 10 June 2026;</w:t>
            </w:r>
          </w:p>
        </w:tc>
      </w:tr>
    </w:tbl>
    <w:p>
      <w:pPr>
        <w:pStyle w:val="TextBody"/>
        <w:bidi w:val="0"/>
        <w:spacing w:before="0" w:after="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23"/>
        <w:gridCol w:w="230"/>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scanned copy (received by e-mail) of the executed Fee Modification Agreement;</w:t>
            </w:r>
          </w:p>
        </w:tc>
      </w:tr>
    </w:tbl>
    <w:p>
      <w:pPr>
        <w:pStyle w:val="TextBody"/>
        <w:bidi w:val="0"/>
        <w:spacing w:before="0" w:after="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scanned copy (received by e-mail) of the executed Securities Purchase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scanned copy (received by e-mail) of the Underwriting and Option Agreement between the Company and XRNA Biotech GmbH dated on or around 24 July 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scanned copy (received by e-mail) of the Contribution Agreement between Company and XRNA Biotech GmbH dated on or around 24 July 2026;</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both"/>
              <w:rPr/>
            </w:pPr>
            <w:r>
              <w:rPr/>
              <w:t> </w:t>
            </w:r>
          </w:p>
        </w:tc>
        <w:tc>
          <w:tcPr>
            <w:tcW w:w="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scanned copy (received by e-mail) of the Share Purchase Agreement between the Company and XRNA Biotech GmbH dated on or around 24 July 2026 (2(a) to 2(g), the </w:t>
            </w:r>
            <w:r>
              <w:rPr>
                <w:rFonts w:ascii="Times New Roman;Times;Serif" w:hAnsi="Times New Roman;Times;Serif"/>
                <w:b/>
                <w:sz w:val="20"/>
              </w:rPr>
              <w:t>Agreements)</w:t>
            </w:r>
            <w:r>
              <w:rPr>
                <w:rFonts w:ascii="Times New Roman;Times;Serif" w:hAnsi="Times New Roman;Times;Serif"/>
                <w:sz w:val="20"/>
              </w:rPr>
              <w: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electronic copy of the executed resolutions of the Company’s board of directors dated on or around 28 July 2026 (the </w:t>
            </w:r>
            <w:r>
              <w:rPr>
                <w:rFonts w:ascii="Times New Roman;Times;Serif" w:hAnsi="Times New Roman;Times;Serif"/>
                <w:b/>
                <w:sz w:val="20"/>
              </w:rPr>
              <w:t>BoD Resolution 1</w:t>
            </w:r>
            <w:r>
              <w:rPr>
                <w:rFonts w:ascii="Times New Roman;Times;Serif" w:hAnsi="Times New Roman;Times;Serif"/>
                <w:sz w:val="20"/>
              </w:rPr>
              <w: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both"/>
              <w:rPr/>
            </w:pPr>
            <w:r>
              <w:rPr/>
              <w:t> </w:t>
            </w:r>
          </w:p>
        </w:tc>
        <w:tc>
          <w:tcPr>
            <w:tcW w:w="1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electronic copy of the executed resolutions of the Company’s board of directors dated on or around 20 May 2026, approving i.a. the entering into of the Securities Purchase Agreement (the </w:t>
            </w:r>
            <w:r>
              <w:rPr>
                <w:rFonts w:ascii="Times New Roman;Times;Serif" w:hAnsi="Times New Roman;Times;Serif"/>
                <w:b/>
                <w:sz w:val="20"/>
              </w:rPr>
              <w:t>BoD Resolution 2</w:t>
            </w:r>
            <w:r>
              <w:rPr>
                <w:rFonts w:ascii="Times New Roman;Times;Serif" w:hAnsi="Times New Roman;Times;Serif"/>
                <w:sz w:val="20"/>
              </w:rPr>
              <w: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9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electronic copy of the executed resolutions of the Company’s board of directors dated on or around 11 June 2026, confirming and ratifying its previous approval of i.a. the entering into of the Securities Purchase Agreement (the </w:t>
            </w:r>
            <w:r>
              <w:rPr>
                <w:rFonts w:ascii="Times New Roman;Times;Serif" w:hAnsi="Times New Roman;Times;Serif"/>
                <w:b/>
                <w:i w:val="false"/>
                <w:caps w:val="false"/>
                <w:smallCaps w:val="false"/>
                <w:sz w:val="20"/>
              </w:rPr>
              <w:t>BoD Resolution 3</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w:t>
            </w:r>
          </w:p>
        </w:tc>
        <w:tc>
          <w:tcPr>
            <w:tcW w:w="99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electronic copy of the executed resolutions of the Company’s board of directors dated on or around March 26, 2026 (the </w:t>
            </w:r>
            <w:r>
              <w:rPr>
                <w:rFonts w:ascii="Times New Roman;Times;Serif" w:hAnsi="Times New Roman;Times;Serif"/>
                <w:b/>
                <w:i w:val="false"/>
                <w:caps w:val="false"/>
                <w:smallCaps w:val="false"/>
                <w:sz w:val="20"/>
              </w:rPr>
              <w:t>BoD Resolution 4</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w:t>
            </w:r>
          </w:p>
        </w:tc>
        <w:tc>
          <w:tcPr>
            <w:tcW w:w="99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scanned copy (received by e-mail) of the minutes of a circular resolution of the board of directors of the Company dated 24 July 2026, approving i.a. the entering into of the Agreements under 2.(e) to 2.(g) (the </w:t>
            </w:r>
            <w:r>
              <w:rPr>
                <w:rFonts w:ascii="Times New Roman;Times;Serif" w:hAnsi="Times New Roman;Times;Serif"/>
                <w:b/>
                <w:i w:val="false"/>
                <w:caps w:val="false"/>
                <w:smallCaps w:val="false"/>
                <w:sz w:val="20"/>
              </w:rPr>
              <w:t>BoD Resolution 5</w:t>
            </w:r>
            <w:r>
              <w:rPr>
                <w:rFonts w:ascii="Times New Roman;Times;Serif" w:hAnsi="Times New Roman;Times;Serif"/>
                <w:b w:val="false"/>
                <w:i w:val="false"/>
                <w:caps w:val="false"/>
                <w:smallCaps w:val="false"/>
                <w:sz w:val="20"/>
              </w:rPr>
              <w:t xml:space="preserve">, together with BoD Resolution 1, BoD Resolution 2, BoD Resolution 3 and BoD Resolution 4, the </w:t>
            </w:r>
            <w:r>
              <w:rPr>
                <w:rFonts w:ascii="Times New Roman;Times;Serif" w:hAnsi="Times New Roman;Times;Serif"/>
                <w:b/>
                <w:i w:val="false"/>
                <w:caps w:val="false"/>
                <w:smallCaps w:val="false"/>
                <w:sz w:val="20"/>
              </w:rPr>
              <w:t>BoD Resolutions</w:t>
            </w:r>
            <w:r>
              <w:rPr>
                <w:rFonts w:ascii="Times New Roman;Times;Serif" w:hAnsi="Times New Roman;Times;Serif"/>
                <w:b w:val="false"/>
                <w:i w:val="false"/>
                <w:caps w:val="false"/>
                <w:smallCaps w:val="false"/>
                <w:sz w:val="20"/>
              </w:rPr>
              <w: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both"/>
              <w:rPr/>
            </w:pPr>
            <w:r>
              <w:rPr/>
              <w:t> </w:t>
            </w:r>
          </w:p>
        </w:tc>
        <w:tc>
          <w:tcPr>
            <w:tcW w:w="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copy of the notarized resolutions of the Company’s extraordinary shareholders’ meeting held on 27 February 2026 (the </w:t>
            </w:r>
            <w:r>
              <w:rPr>
                <w:rFonts w:ascii="Times New Roman;Times;Serif" w:hAnsi="Times New Roman;Times;Serif"/>
                <w:b/>
                <w:sz w:val="20"/>
              </w:rPr>
              <w:t>EGM Resolutions</w:t>
            </w:r>
            <w:r>
              <w:rPr>
                <w:rFonts w:ascii="Times New Roman;Times;Serif" w:hAnsi="Times New Roman;Times;Serif"/>
                <w:sz w:val="20"/>
              </w:rPr>
              <w:t>);</w:t>
            </w:r>
          </w:p>
        </w:tc>
      </w:tr>
    </w:tbl>
    <w:p>
      <w:pPr>
        <w:pStyle w:val="TextBody"/>
        <w:bidi w:val="0"/>
        <w:jc w:val="both"/>
        <w:rPr/>
      </w:pPr>
      <w:r>
        <w:rPr/>
        <w:t> </w:t>
      </w:r>
    </w:p>
    <w:tbl>
      <w:tblPr>
        <w:tblW w:w="8650" w:type="dxa"/>
        <w:jc w:val="left"/>
        <w:tblInd w:w="0" w:type="dxa"/>
        <w:tblLayout w:type="fixed"/>
        <w:tblCellMar>
          <w:top w:w="0" w:type="dxa"/>
          <w:left w:w="0" w:type="dxa"/>
          <w:bottom w:w="0" w:type="dxa"/>
          <w:right w:w="0" w:type="dxa"/>
        </w:tblCellMar>
      </w:tblPr>
      <w:tblGrid>
        <w:gridCol w:w="75"/>
        <w:gridCol w:w="245"/>
        <w:gridCol w:w="833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electronic copy of the articles of association of the Company dated 24 July 2026 (the </w:t>
            </w:r>
            <w:r>
              <w:rPr>
                <w:rFonts w:ascii="Times New Roman;Times;Serif" w:hAnsi="Times New Roman;Times;Serif"/>
                <w:b/>
                <w:sz w:val="20"/>
              </w:rPr>
              <w:t>Articles</w:t>
            </w:r>
            <w:r>
              <w:rPr>
                <w:rFonts w:ascii="Times New Roman;Times;Serif" w:hAnsi="Times New Roman;Times;Serif"/>
                <w:sz w:val="20"/>
              </w:rPr>
              <w:t>);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electronic copy of the excerpt from the commercial register of the Canton of Zurich in respect of the Company dated as of the date hereof (the </w:t>
            </w:r>
            <w:r>
              <w:rPr>
                <w:rFonts w:ascii="Times New Roman;Times;Serif" w:hAnsi="Times New Roman;Times;Serif"/>
                <w:b/>
                <w:sz w:val="20"/>
              </w:rPr>
              <w:t>Excerpt</w:t>
            </w:r>
            <w:r>
              <w:rPr>
                <w:rFonts w:ascii="Times New Roman;Times;Serif" w:hAnsi="Times New Roman;Times;Serif"/>
                <w:sz w:val="20"/>
              </w:rPr>
              <w:t>).</w:t>
            </w:r>
          </w:p>
        </w:tc>
      </w:tr>
    </w:tbl>
    <w:p>
      <w:pPr>
        <w:pStyle w:val="TextBody"/>
        <w:bidi w:val="0"/>
        <w:jc w:val="both"/>
        <w:rPr/>
      </w:pPr>
      <w:r>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documents, other than the Documents, have been reviewed by us in connection with this opinion.</w:t>
      </w:r>
    </w:p>
    <w:p>
      <w:pPr>
        <w:pStyle w:val="TextBody"/>
        <w:bidi w:val="0"/>
        <w:spacing w:before="0" w:after="0"/>
        <w:ind w:left="992"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495"/>
        <w:gridCol w:w="935"/>
      </w:tblGrid>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Business Combination</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0"/>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23"/>
        <w:gridCol w:w="170"/>
        <w:gridCol w:w="1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85"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opinion, we have assumed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submitted to us as originals are authentic and complete, and all Documents submitted to us as copies of originals (including, without limitation, certified copies, photocopies, fax, pdf or scanned copies) are complete and conform to the original documents;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on the Documents submitted to us are genuine and have been provided by the persons as indicated in the context of the respective signatures and any electronic signature on any Document has been inalterably affixed thereto by or with the specific authorisation of the individual to whom such electronic signature belongs and such individual has saved and submitted such Document as so electronically signed in such a manner so as to prevent removal or other alteration of such signature;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Documents (in particular, without limitation, in the Excerpt and the Articles) is true, correct, complete and up to date and there are no facts outstanding or matters resolved that are not reflected in the Documents;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relevant for the purposes of this opinion and except as expressly opined upon herein, all statements made and the representations and warranties given in the Documents are and will be at all relevant times true and accurate;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both"/>
              <w:rPr/>
            </w:pPr>
            <w:r>
              <w:rPr/>
              <w:t>(e)</w:t>
            </w:r>
          </w:p>
        </w:tc>
        <w:tc>
          <w:tcPr>
            <w:tcW w:w="9909" w:type="dxa"/>
            <w:tcBorders/>
            <w:vAlign w:val="center"/>
          </w:tcPr>
          <w:p>
            <w:pPr>
              <w:pStyle w:val="TableContents"/>
              <w:bidi w:val="0"/>
              <w:spacing w:before="0" w:after="283"/>
              <w:jc w:val="both"/>
              <w:rPr/>
            </w:pPr>
            <w:r>
              <w:rPr/>
              <w:t>The BoD Resolutions and the EGM Resolution have each been duly resolved in a meeting duly convened;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(f)</w:t>
            </w:r>
          </w:p>
        </w:tc>
        <w:tc>
          <w:tcPr>
            <w:tcW w:w="9957" w:type="dxa"/>
            <w:tcBorders/>
            <w:vAlign w:val="center"/>
          </w:tcPr>
          <w:p>
            <w:pPr>
              <w:pStyle w:val="TableContents"/>
              <w:bidi w:val="0"/>
              <w:spacing w:before="0" w:after="283"/>
              <w:jc w:val="both"/>
              <w:rPr/>
            </w:pPr>
            <w:r>
              <w:rPr/>
              <w:t>Documents are in full force and effect and have not been and will not be revoked, rescinded, amended, superseded or otherwise modified;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(g)</w:t>
            </w:r>
          </w:p>
        </w:tc>
        <w:tc>
          <w:tcPr>
            <w:tcW w:w="9955" w:type="dxa"/>
            <w:tcBorders/>
            <w:vAlign w:val="center"/>
          </w:tcPr>
          <w:p>
            <w:pPr>
              <w:pStyle w:val="TableContents"/>
              <w:bidi w:val="0"/>
              <w:spacing w:before="0" w:after="283"/>
              <w:jc w:val="both"/>
              <w:rPr/>
            </w:pPr>
            <w:r>
              <w:rPr/>
              <w:t>the Agreements are legal, valid, binding and enforceable under the law (other than Swiss law) by which they are expressed to be governed, and the choice of the law and the submission to the jurisdiction of the courts stated in the Agreements (other than Swiss courts) are valid, binding and enforceable under all applicable laws and as far as any obligation under the Agreements is required to be performed in any jurisdiction outside of Switzerland, its performance will not be illegal or unenforceable by virtue of the laws of such jurisdiction;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both"/>
              <w:rPr/>
            </w:pPr>
            <w:r>
              <w:rPr/>
              <w:t>(h)</w:t>
            </w:r>
          </w:p>
        </w:tc>
        <w:tc>
          <w:tcPr>
            <w:tcW w:w="9910" w:type="dxa"/>
            <w:tcBorders/>
            <w:vAlign w:val="center"/>
          </w:tcPr>
          <w:p>
            <w:pPr>
              <w:pStyle w:val="TableContents"/>
              <w:bidi w:val="0"/>
              <w:spacing w:before="0" w:after="283"/>
              <w:jc w:val="both"/>
              <w:rPr/>
            </w:pPr>
            <w:r>
              <w:rPr/>
              <w:t>the Company has not entered into any transaction which could be construed as repayment of share capital (</w:t>
            </w:r>
            <w:r>
              <w:rPr>
                <w:i/>
              </w:rPr>
              <w:t>Einlagenrückgewähr</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both"/>
              <w:rPr/>
            </w:pPr>
            <w:r>
              <w:rPr/>
              <w:t>(i)</w:t>
            </w:r>
          </w:p>
        </w:tc>
        <w:tc>
          <w:tcPr>
            <w:tcW w:w="10001" w:type="dxa"/>
            <w:tcBorders/>
            <w:vAlign w:val="center"/>
          </w:tcPr>
          <w:p>
            <w:pPr>
              <w:pStyle w:val="TableContents"/>
              <w:bidi w:val="0"/>
              <w:spacing w:before="0" w:after="283"/>
              <w:jc w:val="both"/>
              <w:rPr/>
            </w:pPr>
            <w:r>
              <w:rPr/>
              <w:t>the New Shares will be validly issued by the Company based on its conditional capital as set forth in the Articles, all in line with and pursuant to the Agreements, including receipt of a duly executed notice of exercise by the Company and payment of the respective exercise price;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both"/>
              <w:rPr/>
            </w:pPr>
            <w:r>
              <w:rPr/>
              <w:t>(j)</w:t>
            </w:r>
          </w:p>
        </w:tc>
        <w:tc>
          <w:tcPr>
            <w:tcW w:w="9972" w:type="dxa"/>
            <w:tcBorders/>
            <w:vAlign w:val="center"/>
          </w:tcPr>
          <w:p>
            <w:pPr>
              <w:pStyle w:val="TableContents"/>
              <w:bidi w:val="0"/>
              <w:spacing w:before="0" w:after="283"/>
              <w:jc w:val="both"/>
              <w:rPr/>
            </w:pPr>
            <w:r>
              <w:rPr/>
              <w:t>the Company has at all times available a sufficient portion of its conditional capital (</w:t>
            </w:r>
            <w:r>
              <w:rPr>
                <w:i/>
              </w:rPr>
              <w:t>bedingtes Kapital</w:t>
            </w:r>
            <w:r>
              <w:rPr/>
              <w:t>) for the issuance of the New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as set forth in this section 3 (</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do not imply that we have made any inquiry to verify any of them nor do they suggest that we are aware of any circumstances which might affect the correctness of any of them. No assumption specified above is limited by reference to any other assumption.</w:t>
      </w:r>
    </w:p>
    <w:p>
      <w:pPr>
        <w:pStyle w:val="TextBody"/>
        <w:bidi w:val="0"/>
        <w:spacing w:before="0" w:after="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495"/>
        <w:gridCol w:w="935"/>
      </w:tblGrid>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Business Combination</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1"/>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23"/>
        <w:gridCol w:w="170"/>
        <w:gridCol w:w="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85"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Documents and assumptions referred to herein and subject to the qualifications referred to herein, we are of the opinion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The New Shares to be issued by the Company and covered by the Registration Statement, if and when issued and delivered by the Company and paid for, all in line with and pursuant to the Agreements, will be validly issued, fully paid-in (up to their nominal amount) and non-assessable;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The Existing Shares form part of the Shares, are validly existing, are fully paid-in as to their nominal value and are non-assessable.</w:t>
            </w:r>
          </w:p>
        </w:tc>
      </w:tr>
    </w:tbl>
    <w:p>
      <w:pPr>
        <w:pStyle w:val="TextBody"/>
        <w:bidi w:val="0"/>
        <w:spacing w:before="0" w:after="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22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letter are subject to the following qualifications: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Switzerland and do not hold ourselves to be experts in any laws other than the laws of Switzerland. In this respect, we assume that there is nothing under any law (other than the laws of Switzerland) which would or might affect the opinions expressed herein.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Swiss legal concepts are expressed in English terms and not in their original language. These concepts may not be identical to the concepts described by the same English terms as they exist under the laws of other jurisdictions; this opinion may, therefore, only be relied upon under the express condition that any issues of interpretation or liability arising hereunder will be governed by substantive Swiss law and be brought before a Swiss court.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validity and enforceability of the Agreements or as to any tax matters or regulatory, commercial, accounting, calculating, auditing or other non-legal matters.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60" w:type="dxa"/>
            <w:tcBorders/>
            <w:vAlign w:val="center"/>
          </w:tcPr>
          <w:p>
            <w:pPr>
              <w:pStyle w:val="TableContents"/>
              <w:bidi w:val="0"/>
              <w:spacing w:before="0" w:after="283"/>
              <w:jc w:val="both"/>
              <w:rPr/>
            </w:pPr>
            <w:r>
              <w:rPr/>
              <w:t>The Company’s conditional capital for shareholders’ options (article 3a and article 3b of the Articles) as per the Articles authorizes the Company’s board of directors to increase the share capital by up to CHF 459,424 and CHF 44,152 respectively through the issuance of no more than 52,029,768 registered shares and 5,000,214 registered shares respectively with a nominal value of CHF 100/11,325. Any issuances of Shares by the Company under the Company’s conditional capital as per article 3a and article 3b of the Articles other than pursuant to the Agreements would further decrease the number of available shares issuable under the Agreements. If the Company and the Company’s board of directors wanted to issue more shares pursuant to the Agreements than available under the Company’s conditional capital as per article 3a and article 3b of the Articles, the Company’s shareholders’ meeting would have to amend the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both"/>
              <w:rPr/>
            </w:pPr>
            <w:r>
              <w:rPr/>
              <w:t>When used in this opinion, the term “non-assessable” means that no further contributions have to be made by the relevant holder of the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(f)</w:t>
            </w:r>
          </w:p>
        </w:tc>
        <w:tc>
          <w:tcPr>
            <w:tcW w:w="9946" w:type="dxa"/>
            <w:tcBorders/>
            <w:vAlign w:val="center"/>
          </w:tcPr>
          <w:p>
            <w:pPr>
              <w:pStyle w:val="TableContents"/>
              <w:bidi w:val="0"/>
              <w:spacing w:before="0" w:after="283"/>
              <w:jc w:val="both"/>
              <w:rPr/>
            </w:pPr>
            <w:r>
              <w:rPr/>
              <w:t>We express no opinion as to the accuracy or completeness of the information contained in the Registration Statement.</w:t>
            </w:r>
          </w:p>
        </w:tc>
      </w:tr>
    </w:tbl>
    <w:p>
      <w:pPr>
        <w:pStyle w:val="TextBody"/>
        <w:bidi w:val="0"/>
        <w:spacing w:before="0" w:after="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495"/>
        <w:gridCol w:w="935"/>
      </w:tblGrid>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Business Combination</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2"/>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22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this opinion as of the date hereof and we do not assume any obligation to advise you of any changes in fact or in law that may occur after the date hereof.</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further consent to the reference to our name under the caption “Legal Matter” in the Registration Statement. In giving such consent, we do not thereby admit that we are in the category of persons whose consent is required under Section 7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issued by Walder Wyss Ltd., a stock corporation (</w:t>
      </w:r>
      <w:r>
        <w:rPr>
          <w:rFonts w:ascii="Times New Roman;Times;Serif" w:hAnsi="Times New Roman;Times;Serif"/>
          <w:b w:val="false"/>
          <w:i/>
          <w:caps w:val="false"/>
          <w:smallCaps w:val="false"/>
          <w:sz w:val="20"/>
        </w:rPr>
        <w:t>Aktiengesellschaft</w:t>
      </w:r>
      <w:r>
        <w:rPr>
          <w:rFonts w:ascii="Times New Roman;Times;Serif" w:hAnsi="Times New Roman;Times;Serif"/>
          <w:b w:val="false"/>
          <w:i w:val="false"/>
          <w:caps w:val="false"/>
          <w:smallCaps w:val="false"/>
          <w:sz w:val="20"/>
        </w:rPr>
        <w:t>) incorporated under the laws of Switzerland. No director, officer or other employee of Walder Wyss Ltd. may be held liable under or in connection with this opinion and terms such as “we”, “us” and “ours” shall be interpreted accordingly.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only be relied upon under the express condition that any issues of interpretation or liability arising hereunder will be governed by and shall be construed in accordance with the substantive laws of Switzerland and any dispute arising out of or in connection with this opinion shall be subject to the exclusive jurisdiction of the ordinary courts of the city of Zurich, Switzerland.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p>
      <w:pPr>
        <w:pStyle w:val="TextBody"/>
        <w:bidi w:val="0"/>
        <w:spacing w:before="0" w:after="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895"/>
        <w:gridCol w:w="60"/>
        <w:gridCol w:w="1610"/>
      </w:tblGrid>
      <w:tr>
        <w:trPr/>
        <w:tc>
          <w:tcPr>
            <w:tcW w:w="1895" w:type="dxa"/>
            <w:tcBorders/>
            <w:vAlign w:val="center"/>
          </w:tcPr>
          <w:p>
            <w:pPr>
              <w:pStyle w:val="TableContents"/>
              <w:bidi w:val="0"/>
              <w:spacing w:before="0" w:after="283"/>
              <w:jc w:val="left"/>
              <w:rPr>
                <w:b/>
              </w:rPr>
            </w:pPr>
            <w:r>
              <w:rPr>
                <w:b/>
              </w:rPr>
              <w:t>Walder Wyss Ltd.</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pPr>
            <w:r>
              <w:rPr/>
              <w:t>/s/ Thiemo Sturny</w:t>
            </w:r>
          </w:p>
        </w:tc>
        <w:tc>
          <w:tcPr>
            <w:tcW w:w="60" w:type="dxa"/>
            <w:tcBorders/>
            <w:vAlign w:val="center"/>
          </w:tcPr>
          <w:p>
            <w:pPr>
              <w:pStyle w:val="TableContents"/>
              <w:bidi w:val="0"/>
              <w:spacing w:before="0" w:after="283"/>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jc w:val="left"/>
              <w:rPr/>
            </w:pPr>
            <w:r>
              <w:rPr/>
              <w:t>/s/ Marius Breier</w:t>
            </w:r>
          </w:p>
        </w:tc>
      </w:tr>
      <w:tr>
        <w:trPr/>
        <w:tc>
          <w:tcPr>
            <w:tcW w:w="1895" w:type="dxa"/>
            <w:tcBorders/>
            <w:vAlign w:val="center"/>
          </w:tcPr>
          <w:p>
            <w:pPr>
              <w:pStyle w:val="TableContents"/>
              <w:bidi w:val="0"/>
              <w:spacing w:before="0" w:after="283"/>
              <w:jc w:val="left"/>
              <w:rPr/>
            </w:pPr>
            <w:r>
              <w:rPr/>
              <w:t>Thiemo Sturny</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Marius Breier</w:t>
            </w:r>
          </w:p>
        </w:tc>
      </w:tr>
    </w:tbl>
    <w:p>
      <w:pPr>
        <w:pStyle w:val="TextBody"/>
        <w:bidi w:val="0"/>
        <w:spacing w:before="0" w:after="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495"/>
        <w:gridCol w:w="935"/>
      </w:tblGrid>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Business Combination</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tc>
      </w:tr>
    </w:tbl>
    <w:p>
      <w:pPr>
        <w:pStyle w:val="TextBody"/>
        <w:bidi w:val="0"/>
        <w:spacing w:before="0" w:after="0"/>
        <w:jc w:val="both"/>
        <w:rPr>
          <w:caps w:val="false"/>
          <w:smallCaps w:val="false"/>
        </w:rPr>
      </w:pPr>
      <w:bookmarkStart w:id="25" w:name="veraxabiotech_ex5-2.htm"/>
      <w:bookmarkStart w:id="26" w:name="ksveraxabiotech_ex52"/>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p>
      <w:pPr>
        <w:pStyle w:val="TextBody"/>
        <w:bidi w:val="0"/>
        <w:spacing w:before="0" w:after="0"/>
        <w:jc w:val="both"/>
        <w:rPr>
          <w:caps w:val="false"/>
          <w:smallCaps w:val="false"/>
          <w:color w:val="FF0000"/>
        </w:rPr>
      </w:pPr>
      <w:r>
        <w:rPr>
          <w:caps w:val="false"/>
          <w:smallCaps w:val="false"/>
          <w:color w:val="FF0000"/>
        </w:rPr>
        <w:t> </w:t>
      </w:r>
    </w:p>
    <w:p>
      <w:pPr>
        <w:pStyle w:val="TextBody"/>
        <w:bidi w:val="0"/>
        <w:spacing w:before="0" w:after="0"/>
        <w:jc w:val="right"/>
        <w:rPr>
          <w:caps w:val="false"/>
          <w:smallCaps w:val="false"/>
          <w:color w:val="FF0000"/>
        </w:rPr>
      </w:pPr>
      <w:r>
        <w:rPr>
          <w:caps w:val="false"/>
          <w:smallCaps w:val="false"/>
          <w:color w:val="FF0000"/>
        </w:rPr>
        <w:drawing>
          <wp:inline distT="0" distB="0" distL="0" distR="0">
            <wp:extent cx="1333500"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3"/>
                    <a:stretch>
                      <a:fillRect/>
                    </a:stretch>
                  </pic:blipFill>
                  <pic:spPr bwMode="auto">
                    <a:xfrm>
                      <a:off x="0" y="0"/>
                      <a:ext cx="1333500" cy="447675"/>
                    </a:xfrm>
                    <a:prstGeom prst="rect">
                      <a:avLst/>
                    </a:prstGeom>
                  </pic:spPr>
                </pic:pic>
              </a:graphicData>
            </a:graphic>
          </wp:inline>
        </w:drawing>
      </w:r>
    </w:p>
    <w:p>
      <w:pPr>
        <w:pStyle w:val="TextBody"/>
        <w:bidi w:val="0"/>
        <w:spacing w:before="0" w:after="0"/>
        <w:jc w:val="both"/>
        <w:rPr>
          <w:caps w:val="false"/>
          <w:smallCaps w:val="false"/>
          <w:color w:val="FF0000"/>
        </w:rPr>
      </w:pPr>
      <w:r>
        <w:rPr>
          <w:caps w:val="false"/>
          <w:smallCaps w:val="false"/>
          <w:color w:val="FF0000"/>
        </w:rPr>
        <w:t> </w:t>
      </w:r>
    </w:p>
    <w:tbl>
      <w:tblPr>
        <w:tblW w:w="1925" w:type="dxa"/>
        <w:jc w:val="left"/>
        <w:tblInd w:w="0" w:type="dxa"/>
        <w:tblLayout w:type="fixed"/>
        <w:tblCellMar>
          <w:top w:w="0" w:type="dxa"/>
          <w:left w:w="0" w:type="dxa"/>
          <w:bottom w:w="0" w:type="dxa"/>
          <w:right w:w="0" w:type="dxa"/>
        </w:tblCellMar>
      </w:tblPr>
      <w:tblGrid>
        <w:gridCol w:w="75"/>
        <w:gridCol w:w="1850"/>
      </w:tblGrid>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525 W. Monroe Street</w:t>
            </w:r>
          </w:p>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Chicago, IL 60661-3693</w:t>
            </w:r>
          </w:p>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+1.312.902.5200 tel</w:t>
            </w:r>
          </w:p>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katten.com.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Talacker 35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8001 Zurich, Switzerland</w:t>
      </w:r>
    </w:p>
    <w:p>
      <w:pPr>
        <w:pStyle w:val="TextBody"/>
        <w:bidi w:val="0"/>
        <w:spacing w:before="0" w:after="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320"/>
        <w:gridCol w:w="5195"/>
      </w:tblGrid>
      <w:tr>
        <w:trPr/>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r>
          </w:p>
        </w:tc>
      </w:tr>
      <w:tr>
        <w:trPr/>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Securities Registered under Registration Statement on Form F-1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Veraxa Biotech AG, formerly known as Veraxa Biotech Holding AG, a public limited company organized under the Laws of Switzerland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its filing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the date hereof, of a registration statement on Form F-1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including the preliminary prospectus dated July 31, 2026 contained therein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Prospectus relate to the resale from time to time by the selling securityholders named in the Prospectus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of up to an aggregate of 6,786,739 warrants (the “</w:t>
      </w:r>
      <w:r>
        <w:rPr>
          <w:rFonts w:ascii="Times New Roman;Times;Serif" w:hAnsi="Times New Roman;Times;Serif"/>
          <w:b w:val="false"/>
          <w:i w:val="false"/>
          <w:caps w:val="false"/>
          <w:smallCaps w:val="false"/>
          <w:sz w:val="20"/>
          <w:u w:val="single"/>
        </w:rPr>
        <w:t>Private Placement Warrants</w:t>
      </w:r>
      <w:r>
        <w:rPr>
          <w:rFonts w:ascii="Times New Roman;Times;Serif" w:hAnsi="Times New Roman;Times;Serif"/>
          <w:b w:val="false"/>
          <w:i w:val="false"/>
          <w:caps w:val="false"/>
          <w:smallCaps w:val="false"/>
          <w:sz w:val="20"/>
        </w:rPr>
        <w:t>”) to purchase the Company’s Ordinary Shares, par value CHF 1/113.25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which were purchased by Voyager Acquisition Sponsor Holdco LLC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and the underwriters of the initial public offering of Voyager Acquisition Corp. (the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xml:space="preserve">”) in a private placement simultaneously with the closing of the SPAC’s initial public offering and subsequently assumed by the Company pursuant to the Warrant Assignment, Assumption and Amendment Agreement, dated June 10, 2026, by and among the SPAC, the Company and Continental Stock Transfer &amp; Trust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 of Regulation S-K under the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relied as to matters of fact, without investigation, upon affidavits, certificates and written statements of directors, officers and employees of the Company. We have also examined originals or copies, certified or otherwise identified to our satisfaction, of such instruments, documents and records as we have deemed relevant and necessary to examine for the purpose of this opinion, including: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Registration Statement, including the Prospectus, and all exhibits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specimen warrant certificate, in the form filed with the Commission on June 18, 2024, as Exhibit 4.3 to the SPAC’s Registration Statement on Form S-1 (Registration No. 333-280305</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warrant purchase agreements (a) between the SPAC and the Sponsor, dated as of August 8, 2024, in the form filed as Exhibit 10.4 to the SPAC’s Current Report on Form 8-K (the “</w:t>
      </w:r>
      <w:r>
        <w:rPr>
          <w:rFonts w:ascii="Times New Roman;Times;Serif" w:hAnsi="Times New Roman;Times;Serif"/>
          <w:b w:val="false"/>
          <w:i w:val="false"/>
          <w:caps w:val="false"/>
          <w:smallCaps w:val="false"/>
          <w:sz w:val="20"/>
          <w:u w:val="single"/>
        </w:rPr>
        <w:t>2024 Current Report</w:t>
      </w:r>
      <w:r>
        <w:rPr>
          <w:rFonts w:ascii="Times New Roman;Times;Serif" w:hAnsi="Times New Roman;Times;Serif"/>
          <w:b w:val="false"/>
          <w:i w:val="false"/>
          <w:caps w:val="false"/>
          <w:smallCaps w:val="false"/>
          <w:sz w:val="20"/>
        </w:rPr>
        <w:t>”) and (b) among the SPAC, Cantor Fitzgerald &amp; Co and Odeon Capital Group LLC, dated as of August 8, 2024, in the form filed as Exhibit 10.5 to the 2024 Current Report (together, the “</w:t>
      </w:r>
      <w:r>
        <w:rPr>
          <w:rFonts w:ascii="Times New Roman;Times;Serif" w:hAnsi="Times New Roman;Times;Serif"/>
          <w:b w:val="false"/>
          <w:i w:val="false"/>
          <w:caps w:val="false"/>
          <w:smallCaps w:val="false"/>
          <w:sz w:val="20"/>
          <w:u w:val="single"/>
        </w:rPr>
        <w:t>Private Placement Warrant Agreements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warrant agreement between the SPAC and Continental Stock Transfer &amp; Trust Company, dated as of August 8, 2024 (the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in the form filed with the Commission on August 14, 2024, as Exhibit 4.1 to the 2024 Current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underwriting agreement, dated as of August 8, 2024, by and between the SPAC and Cantor Fitzgerald &amp; Co, as representative of the underwriters named therein, in the form filed as Exhibit 1.1 to the 2024 Current Report;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Warrant Assignment, Assumption and Amendment Agreement, dated June 10, 2026, by and among the SPAC, the Company and Continental Stock Transfer &amp; Trust Company (the “</w:t>
      </w:r>
      <w:r>
        <w:rPr>
          <w:rFonts w:ascii="Times New Roman;Times;Serif" w:hAnsi="Times New Roman;Times;Serif"/>
          <w:b w:val="false"/>
          <w:i w:val="false"/>
          <w:caps w:val="false"/>
          <w:smallCaps w:val="false"/>
          <w:sz w:val="20"/>
          <w:u w:val="single"/>
        </w:rPr>
        <w:t>Warrant Assignment, Assumption and Amendment Agreement</w:t>
      </w:r>
      <w:r>
        <w:rPr>
          <w:rFonts w:ascii="Times New Roman;Times;Serif" w:hAnsi="Times New Roman;Times;Serif"/>
          <w:b w:val="false"/>
          <w:i w:val="false"/>
          <w:caps w:val="false"/>
          <w:smallCaps w:val="false"/>
          <w:sz w:val="20"/>
        </w:rPr>
        <w:t>”), in the form filed as Exhibit 2.5 to the 2026 20-F.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relied as to matters of fact, without investigation, upon certificates of public officials and officers of the Company. We have also relied, to the extent we have determined such reliance to be appropriate, without independent investigation and with the permission of Walder Wyss Ltd., on the opinion of Walder Wyss Ltd. of even date herewith, as Swiss counsel to the Company, which will be filed as an exhibit to the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assumed at all applicable times (i) the legal capacity of all natural persons, the accuracy and completeness of all documents and records that we have reviewed, the genuineness of all signatures, the due authority of the parties signing such documents, the authenticity of the documents submitted to us as originals and the conformity to authentic original documents of all documents submitted to us as certified, conformed or reproduced copies and (ii) there has not been any mutual mistake of fact or misunderstanding, fraud, duress or undue influence. We have assumed that the Company is, and at all times will be, duly organized and in good standing under the laws of Switzerland and has or will have the corporate power and authority to enter into and perform its obligations under, and, in respect of, the Private Placement Warrants all other agreements and instruments under which the Private Placement Warrants have been issued and/or assumed by the Company, and we have also assumed the due authorization by all requisite action, corporate or other, and (to the extent governed by laws of Switzerland) execution and delivery, by the Company of the Private Placement Warrants and all other agreements and instruments under which the Private Placement Warrants have been issued and/or assumed by the Company. With respect to agreements and instruments executed or to be executed by parties other than the Company, we have assumed that such parties had, have or will have the power, corporate or other, to enter into and perform all of their obligations thereunder and have also assumed the due authorization by all requisite action, corporate or other, and execution and delivery, by such parties of such agreements and instruments and the validity and binding effect thereof on such parties.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it is our opinion that the Private Placement Warrants constitute valid and legally binding obligations of the Company, enforceable against the Company in accordance with their terms under the laws of the State of New York.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subject to the qualification that we express no opinion as to the applicability of, compliance with, or effect of (a) the effects of bankruptcy, insolvency, reorganization, receivership, moratorium or other laws affecting the rights and remedies of creditors generally (including, without limitation, the effect of statutory and other laws regarding fraudulent conveyances, fraudulent transfers and preferential transfers), (b) the exercise of judicial discretion and the application of principles of equity, good faith, fair dealing, reasonableness, conscionability and materiality (regardless of whether the enforceability of the Private Placement Warrants, to the extent applicable, is considered in a proceeding at law or in equity), (c) the possible unenforceability of indemnity, exculpation and contribution provisions, (d) the effect and possible unenforceability of choice of law provisions, (e) the possible unenforceability of provisions purporting to waive rights or defenses where such waiver is against public policy, (f) the possible unenforceability of provisions purporting to exonerate any party for negligence or malfeasance, or to negate any remedy of any party for fraud, (g) the possible unenforceability of forum selection clauses, (h) the possible unenforceability of provisions permitting modification of an agreement only in writing, and (i) the possible unenforceability of provisions purporting to allow action without regard to mitigation of damages. We advise you that issues addressed by this letter may be governed in whole or in part by other laws, but we express no opinion as to whether any relevant difference exists between the laws upon which our opinions are based and any other laws which may actually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above is limited to New York law and we do not express any opinion concerning any other laws. We express no opinion herein concerning any Ordinary Shares issuable upon exercise of the Private Placement Warrants, the authorization, delivery and issuance of which will be governed by the laws of Switzerland. To the extent that any opinion relates to the enforceability of any choice of New York law and choice of New York forum provisions contained in the Private Placement Warrants or the Warrant Agreement, the opinions stated herein are subject to the qualification that such enforceability may be subject to, in each case, (i) the exceptions and limitations in New York General Obligations Law sections 5-1401 and 5-1402 and (ii) principles of comity and constitutionality. This opinion is given as of the date hereof, and we assume no obligation to advise you of changes that may hereafter be brought to our attention. We do not find it necessary for the purposes of this opinion, and accordingly we do not purport to cover herein, the application of the securities or “Blue Sky” laws of the various states to the issuance or resale of the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This opinion is given as of the date hereof and as of the effective date of the Registration Statement, and we assume no obligation to revise or supplement this opinion after the date of effectiveness should the present laws of the State of New York be changed by legislative action, judicial decision or otherwise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We also consent to the reference to our firm under the caption “Legal Matters” in the Prospectus. In giving this consent, we do not thereby admit that we are experts within the meaning of Section 11 of the Act or included in the category of persons whose consent is required under Section 7 of the Act or the rules and regulations of the Commission.</w:t>
      </w:r>
    </w:p>
    <w:p>
      <w:pPr>
        <w:pStyle w:val="TextBody"/>
        <w:bidi w:val="0"/>
        <w:spacing w:before="0" w:after="0"/>
        <w:jc w:val="both"/>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3140"/>
        <w:gridCol w:w="75"/>
      </w:tblGrid>
      <w:tr>
        <w:trPr/>
        <w:tc>
          <w:tcPr>
            <w:tcW w:w="314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Katten Muchin Rosenman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KATTEN MUCHIN ROSENMAN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6815/000182912625002874/voyageracq_ex2-1.htm" TargetMode="External"/><Relationship Id="rId3" Type="http://schemas.openxmlformats.org/officeDocument/2006/relationships/hyperlink" Target="https://www.sec.gov/Archives/edgar/data/2006815/000182912625008292/voyageracq_ex2-1.htm" TargetMode="External"/><Relationship Id="rId4" Type="http://schemas.openxmlformats.org/officeDocument/2006/relationships/hyperlink" Target="https://www.sec.gov/Archives/edgar/data/2006815/000182912626000900/voyageracq_ex2-1.htm" TargetMode="External"/><Relationship Id="rId5" Type="http://schemas.openxmlformats.org/officeDocument/2006/relationships/hyperlink" Target="https://www.sec.gov/Archives/edgar/data/2079109/000182912626007854/veraxabiotechag_ex99-2.htm" TargetMode="External"/><Relationship Id="rId6" Type="http://schemas.openxmlformats.org/officeDocument/2006/relationships/hyperlink" Target="https://www.sec.gov/Archives/edgar/data/2079109/000182912626006546/veraxabiotech_ex2-1.htm" TargetMode="External"/><Relationship Id="rId7" Type="http://schemas.openxmlformats.org/officeDocument/2006/relationships/hyperlink" Target="https://www.sec.gov/Archives/edgar/data/2006815/000182912624005510/voyageracq_ex4-1.htm" TargetMode="External"/><Relationship Id="rId8" Type="http://schemas.openxmlformats.org/officeDocument/2006/relationships/hyperlink" Target="https://www.sec.gov/Archives/edgar/data/2006815/000182912624005510/voyageracq_ex10-4.htm" TargetMode="External"/><Relationship Id="rId9" Type="http://schemas.openxmlformats.org/officeDocument/2006/relationships/hyperlink" Target="https://www.sec.gov/Archives/edgar/data/2006815/000182912624005510/voyageracq_ex10-5.htm" TargetMode="External"/><Relationship Id="rId10" Type="http://schemas.openxmlformats.org/officeDocument/2006/relationships/hyperlink" Target="https://www.sec.gov/Archives/edgar/data/2079109/000182912626006546/veraxabiotech_ex2-5.htm" TargetMode="External"/><Relationship Id="rId11" Type="http://schemas.openxmlformats.org/officeDocument/2006/relationships/hyperlink" Target="https://www.sec.gov/Archives/edgar/data/2006815/000182912625005092/voyageracq_ex10-1.htm" TargetMode="External"/><Relationship Id="rId12" Type="http://schemas.openxmlformats.org/officeDocument/2006/relationships/hyperlink" Target="https://www.sec.gov/Archives/edgar/data/2006815/000182912625002874/voyageracq_ex10-2.htm" TargetMode="External"/><Relationship Id="rId13" Type="http://schemas.openxmlformats.org/officeDocument/2006/relationships/hyperlink" Target="https://www.sec.gov/Archives/edgar/data/2006815/000182912626000900/voyageracq_ex10-1.htm" TargetMode="External"/><Relationship Id="rId14" Type="http://schemas.openxmlformats.org/officeDocument/2006/relationships/hyperlink" Target="https://www.sec.gov/Archives/edgar/data/2079109/000182912626006546/veraxabiotech_ex4-7.htm" TargetMode="External"/><Relationship Id="rId15" Type="http://schemas.openxmlformats.org/officeDocument/2006/relationships/hyperlink" Target="https://www.sec.gov/Archives/edgar/data/2006815/000182912625002874/voyageracq_ex10-1.htm" TargetMode="External"/><Relationship Id="rId16" Type="http://schemas.openxmlformats.org/officeDocument/2006/relationships/hyperlink" Target="https://www.sec.gov/Archives/edgar/data/2006815/000182912626001295/veraxabiotech_ex10-22.htm" TargetMode="External"/><Relationship Id="rId17" Type="http://schemas.openxmlformats.org/officeDocument/2006/relationships/hyperlink" Target="https://www.sec.gov/Archives/edgar/data/2006815/000182912626005814/voyageracq_ex10-1.htm" TargetMode="External"/><Relationship Id="rId18" Type="http://schemas.openxmlformats.org/officeDocument/2006/relationships/hyperlink" Target="https://www.sec.gov/Archives/edgar/data/2079109/000182912626006546/veraxabiotech_ex4-11.htm" TargetMode="External"/><Relationship Id="rId19" Type="http://schemas.openxmlformats.org/officeDocument/2006/relationships/hyperlink" Target="https://www.sec.gov/Archives/edgar/data/2079109/000182912626006546/veraxabiotech_ex4-12.htm" TargetMode="External"/><Relationship Id="rId20" Type="http://schemas.openxmlformats.org/officeDocument/2006/relationships/hyperlink" Target="https://www.sec.gov/Archives/edgar/data/2006815/000182912626005814/voyageracq_ex10-4.htm" TargetMode="External"/><Relationship Id="rId21" Type="http://schemas.openxmlformats.org/officeDocument/2006/relationships/hyperlink" Target="https://www.sec.gov/Archives/edgar/data/2006815/000182912626005814/voyageracq_ex10-4.htm" TargetMode="External"/><Relationship Id="rId22" Type="http://schemas.openxmlformats.org/officeDocument/2006/relationships/hyperlink" Target="https://www.sec.gov/Archives/edgar/data/2079109/000182912626006546/veraxabiotech_ex8-1.htm" TargetMode="External"/><Relationship Id="rId23" Type="http://schemas.openxmlformats.org/officeDocument/2006/relationships/hyperlink" Target="https://www.sec.gov/Archives/edgar/data/2079109/000182912626008247/veraxabiotech_ex23-1.htm" TargetMode="External"/><Relationship Id="rId24" Type="http://schemas.openxmlformats.org/officeDocument/2006/relationships/hyperlink" Target="https://www.sec.gov/Archives/edgar/data/2079109/000182912626008247/veraxabiotech_ex23-2.htm" TargetMode="External"/><Relationship Id="rId25" Type="http://schemas.openxmlformats.org/officeDocument/2006/relationships/hyperlink" Target="https://www.sec.gov/Archives/edgar/data/2079109/000182912626008247/veraxabiotech_ex23-3.htm" TargetMode="External"/><Relationship Id="rId26" Type="http://schemas.openxmlformats.org/officeDocument/2006/relationships/hyperlink" Target="https://www.sec.gov/ix?doc=/Archives/edgar/data/2079109/000182912626008247/veraxabiotech_ex107.htm" TargetMode="External"/><Relationship Id="rId27" Type="http://schemas.openxmlformats.org/officeDocument/2006/relationships/image" Target="media/image1.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8970</Words>
  <Characters>47849</Characters>
  <CharactersWithSpaces>56871</CharactersWithSpaces>
  <Paragraphs>1084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