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Veraxa Biotech AG, formerly Veraxa Biotech Holding AG, (the “Company”) announced the results of its Extraordinary General Meeting of Shareholders, held on July 24, 2026 (the “Meeting”). The Company’s shareholders approved amendments to the Company’s Amended and Restated Articles of Association (as amended, the “Articles”) which include, among other things, the introduction of conditional share capital for shareholder options and warrants, the implementation of a capital band through December 31, 2030, and an increase in the maximum number of members of the Board of Directors from five to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press release and the Articles are attached hereto as Exhibits 99.1 and 99.2,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refiling certain information on this Report on Form 6-K that was previously filed on Reports on Form 6-K filed under an incorrect CIK filer number (CIK 0002079364) on July 6, 2026, July 10, 2026, July 20, 2026 and July 23, 2026 (the “Original 6-Ks”). All information included in the Original 6-Ks remains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the Company issued a notice for the Meeting. The Company fixed July 20, 2026 as the record date for determination of persons entitled to receive notice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notice is attached as Exhibit 99.3 to this report on Form 6-K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Development for BiTAC-TCE Technology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the Company issued a press release announcing the initiation of cell line development for its lead BiTAC T-cell engager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99.4 to this report on Form 6-K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and Further Details on Partnering Strategy and Development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details of its partnering strategy and development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99.5 to this report on Form 6-K and is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issued a press release announcing the appointment of Carl von Halem as Interim Chief Financial Officer. He succeeds Torsten Bürgermeister. In his position as Interim Chief Financial Officer, Mr. von Halem will act as the Company’s principal financial officer and principal accounting officer until the Company identifies Mr. Bürgermeister’s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von Halem is a finance executive, entrepreneur and board member with extensive experience in corporate finance, venture building, life sciences and technology-driven businesses. Since December 2021, he has served as Chief Financial Officer of Xlife Sciences AG, a Swiss-listed incubator and accelerator for life science innovations. In this role, he is responsible for finance, corporate development, capital markets activities, M&amp;A transactions and investor relations. In addition, he serves as Managing Director of Xlife Sciences GmbH (since February 2022) and Managing Director of XRNA Biotech GmbH (since January 2023), supporting the development and commercialization of innovative biotechnology and healthcare companies. Since June 2025, he has been a Board Member of Axenoll Life Sciences AG, and since August 2025 a Board Member of FUSE-AI AG, where he contributes his expertise in corporate governance, strategic development and financing. Alongside his activities in the life sciences sector, he has been Co-Founder and Chief Operating Officer of CommneX GmbH since 2016. The Munich-based FinTech company operates a digital tendering and matchmaking platform connecting municipalities, public corporations and municipal-related companies with banks, insurance companies and institutional investors. In this role, he has been instrumental in building and scaling the company, establishing strategic partnerships and developing innovative financing solutions for the public sector. Earlier in his career, Mr. von Halem advised start-ups and scale-ups at Berlin Startup Consulting, supporting founders and management teams in business development, fundraising, financial planning, operational scaling and growth strategies. Prior to that, he worked as Senior Associate at SaEnergy Systems, a company active in the renewable energy sector, where he gained experience in project development, infrastructure financing and strategic business development. Mr. von Halem holds a degree in Economics from the Technical University of Berlin. His academic background and professional experience provide a strong foundation in corporate finance, venture building, capital markets, corporate governance and the development of growth-oriented technology and life science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99.6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BiTAC-TCE Regulatory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issued a press release announcing regulatory progress with its BiTAC T-cell engager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99.7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Scientific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Veraxa Biotech AG (the “Company”) issued a press release announcing the appointment of Christoph Erkel, Ph.D., as Chief Scientific Officer (CSO), effective immediately. Mr. Erkel, previously Vice President of Research &amp; Development of the Company, succeeds Rick Austin, Ph.D.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Erkel is an accomplished scientific leader with 20 years of expertise in antibody therapeutics, with a career bridging early-stage discovery and clinical readiness. His expertise includes antibody engineering and preclinical development, advancing candidate molecules up to IND submission. Prior to joining the Company, he served as Research Program Leader at MorphoSys AG (acquired by Novartis), where he led cross-functional teams and therapeutic programs in immuno-oncology, including the development of conditionally active T cell engagers for solid and hematologic tumors. Earlier, he held senior roles in Discovery Biology and Antibody Engineering, as well as scientific and leadership positions at Sloning BioTechnology GmbH. Christoph Erkel earned his Ph.D. in Biology from Philipps University in Marburg and conducted postdoctoral research at the Max Planck Institute for Terrestrial Microbiology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99.8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665"/>
        <w:gridCol w:w="60"/>
        <w:gridCol w:w="5630"/>
      </w:tblGrid>
      <w:tr>
        <w:trPr/>
        <w:tc>
          <w:tcPr>
            <w:tcW w:w="665"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30"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pPr>
            <w:hyperlink w:anchor="veraxabiotechag_ex99-1.htm">
              <w:r>
                <w:rPr>
                  <w:rStyle w:val="InternetLink"/>
                  <w:sz w:val="20"/>
                </w:rPr>
                <w:t>Press Release dated July 24, 2026</w:t>
              </w:r>
            </w:hyperlink>
          </w:p>
        </w:tc>
      </w:tr>
      <w:tr>
        <w:trPr/>
        <w:tc>
          <w:tcPr>
            <w:tcW w:w="665" w:type="dxa"/>
            <w:tcBorders/>
            <w:tcMar>
              <w:bottom w:w="0" w:type="dxa"/>
            </w:tcMar>
            <w:vAlign w:val="center"/>
          </w:tcPr>
          <w:p>
            <w:pPr>
              <w:pStyle w:val="TableContents"/>
              <w:bidi w:val="0"/>
              <w:spacing w:before="0" w:after="283"/>
              <w:jc w:val="left"/>
              <w:rPr>
                <w:sz w:val="20"/>
              </w:rPr>
            </w:pPr>
            <w:r>
              <w:rPr>
                <w:sz w:val="20"/>
              </w:rPr>
              <w:t>99.2</w:t>
            </w:r>
          </w:p>
        </w:tc>
        <w:tc>
          <w:tcPr>
            <w:tcW w:w="60" w:type="dxa"/>
            <w:tcBorders/>
            <w:tcMar>
              <w:bottom w:w="0" w:type="dxa"/>
            </w:tcMar>
            <w:vAlign w:val="center"/>
          </w:tcPr>
          <w:p>
            <w:pPr>
              <w:pStyle w:val="TableContents"/>
              <w:bidi w:val="0"/>
              <w:spacing w:before="0" w:after="283"/>
              <w:jc w:val="left"/>
              <w:rPr/>
            </w:pPr>
            <w:r>
              <w:rPr/>
              <w:t> </w:t>
            </w:r>
          </w:p>
        </w:tc>
        <w:tc>
          <w:tcPr>
            <w:tcW w:w="5630" w:type="dxa"/>
            <w:tcBorders/>
            <w:tcMar>
              <w:bottom w:w="0" w:type="dxa"/>
            </w:tcMar>
            <w:vAlign w:val="center"/>
          </w:tcPr>
          <w:p>
            <w:pPr>
              <w:pStyle w:val="TableContents"/>
              <w:bidi w:val="0"/>
              <w:spacing w:before="0" w:after="283"/>
              <w:jc w:val="left"/>
              <w:rPr/>
            </w:pPr>
            <w:hyperlink w:anchor="veraxabiotechag_ex99-2.htm">
              <w:r>
                <w:rPr>
                  <w:rStyle w:val="InternetLink"/>
                  <w:sz w:val="20"/>
                </w:rPr>
                <w:t>Amended and Restated Articles of Association of Veraxa Biotech AG</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pPr>
            <w:hyperlink w:anchor="veraxabiotechag_ex99-3.htm">
              <w:r>
                <w:rPr>
                  <w:rStyle w:val="InternetLink"/>
                  <w:sz w:val="20"/>
                </w:rPr>
                <w:t>Notice of Meeting</w:t>
              </w:r>
            </w:hyperlink>
          </w:p>
        </w:tc>
      </w:tr>
      <w:tr>
        <w:trPr/>
        <w:tc>
          <w:tcPr>
            <w:tcW w:w="665" w:type="dxa"/>
            <w:tcBorders/>
            <w:tcMar>
              <w:bottom w:w="0" w:type="dxa"/>
            </w:tcMar>
            <w:vAlign w:val="center"/>
          </w:tcPr>
          <w:p>
            <w:pPr>
              <w:pStyle w:val="TableContents"/>
              <w:bidi w:val="0"/>
              <w:spacing w:before="0" w:after="283"/>
              <w:jc w:val="left"/>
              <w:rPr>
                <w:sz w:val="20"/>
              </w:rPr>
            </w:pPr>
            <w:r>
              <w:rPr>
                <w:sz w:val="20"/>
              </w:rPr>
              <w:t>99.4</w:t>
            </w:r>
          </w:p>
        </w:tc>
        <w:tc>
          <w:tcPr>
            <w:tcW w:w="60" w:type="dxa"/>
            <w:tcBorders/>
            <w:tcMar>
              <w:bottom w:w="0" w:type="dxa"/>
            </w:tcMar>
            <w:vAlign w:val="center"/>
          </w:tcPr>
          <w:p>
            <w:pPr>
              <w:pStyle w:val="TableContents"/>
              <w:bidi w:val="0"/>
              <w:spacing w:before="0" w:after="283"/>
              <w:jc w:val="left"/>
              <w:rPr/>
            </w:pPr>
            <w:r>
              <w:rPr/>
              <w:t> </w:t>
            </w:r>
          </w:p>
        </w:tc>
        <w:tc>
          <w:tcPr>
            <w:tcW w:w="5630" w:type="dxa"/>
            <w:tcBorders/>
            <w:tcMar>
              <w:bottom w:w="0" w:type="dxa"/>
            </w:tcMar>
            <w:vAlign w:val="center"/>
          </w:tcPr>
          <w:p>
            <w:pPr>
              <w:pStyle w:val="TableContents"/>
              <w:bidi w:val="0"/>
              <w:spacing w:before="0" w:after="283"/>
              <w:jc w:val="left"/>
              <w:rPr/>
            </w:pPr>
            <w:hyperlink w:anchor="veraxabiotechag_ex99-4.htm">
              <w:r>
                <w:rPr>
                  <w:rStyle w:val="InternetLink"/>
                  <w:sz w:val="20"/>
                </w:rPr>
                <w:t>Press Release dated July 2, 2026</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pPr>
            <w:hyperlink w:anchor="veraxabiotechag_ex99-5.htm">
              <w:r>
                <w:rPr>
                  <w:rStyle w:val="InternetLink"/>
                  <w:sz w:val="20"/>
                </w:rPr>
                <w:t>Press Release dated July 6, 2026</w:t>
              </w:r>
            </w:hyperlink>
          </w:p>
        </w:tc>
      </w:tr>
      <w:tr>
        <w:trPr/>
        <w:tc>
          <w:tcPr>
            <w:tcW w:w="665" w:type="dxa"/>
            <w:tcBorders/>
            <w:tcMar>
              <w:bottom w:w="0" w:type="dxa"/>
            </w:tcMar>
            <w:vAlign w:val="center"/>
          </w:tcPr>
          <w:p>
            <w:pPr>
              <w:pStyle w:val="TableContents"/>
              <w:bidi w:val="0"/>
              <w:spacing w:before="0" w:after="283"/>
              <w:jc w:val="left"/>
              <w:rPr>
                <w:sz w:val="20"/>
              </w:rPr>
            </w:pPr>
            <w:r>
              <w:rPr>
                <w:sz w:val="20"/>
              </w:rPr>
              <w:t>99.6</w:t>
            </w:r>
          </w:p>
        </w:tc>
        <w:tc>
          <w:tcPr>
            <w:tcW w:w="60" w:type="dxa"/>
            <w:tcBorders/>
            <w:tcMar>
              <w:bottom w:w="0" w:type="dxa"/>
            </w:tcMar>
            <w:vAlign w:val="center"/>
          </w:tcPr>
          <w:p>
            <w:pPr>
              <w:pStyle w:val="TableContents"/>
              <w:bidi w:val="0"/>
              <w:spacing w:before="0" w:after="283"/>
              <w:jc w:val="left"/>
              <w:rPr/>
            </w:pPr>
            <w:r>
              <w:rPr/>
              <w:t> </w:t>
            </w:r>
          </w:p>
        </w:tc>
        <w:tc>
          <w:tcPr>
            <w:tcW w:w="5630" w:type="dxa"/>
            <w:tcBorders/>
            <w:tcMar>
              <w:bottom w:w="0" w:type="dxa"/>
            </w:tcMar>
            <w:vAlign w:val="center"/>
          </w:tcPr>
          <w:p>
            <w:pPr>
              <w:pStyle w:val="TableContents"/>
              <w:bidi w:val="0"/>
              <w:spacing w:before="0" w:after="283"/>
              <w:jc w:val="left"/>
              <w:rPr/>
            </w:pPr>
            <w:hyperlink w:anchor="veraxabiotechag_ex99-6.htm">
              <w:r>
                <w:rPr>
                  <w:rStyle w:val="InternetLink"/>
                  <w:sz w:val="20"/>
                </w:rPr>
                <w:t>Press Release dated July 10, 2026</w:t>
              </w:r>
            </w:hyperlink>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30" w:type="dxa"/>
            <w:tcBorders/>
            <w:shd w:fill="CCEEFF" w:val="clear"/>
            <w:tcMar>
              <w:bottom w:w="0" w:type="dxa"/>
            </w:tcMar>
            <w:vAlign w:val="center"/>
          </w:tcPr>
          <w:p>
            <w:pPr>
              <w:pStyle w:val="TableContents"/>
              <w:bidi w:val="0"/>
              <w:spacing w:before="0" w:after="283"/>
              <w:jc w:val="left"/>
              <w:rPr/>
            </w:pPr>
            <w:hyperlink w:anchor="veraxabiotechag_ex99-7.htm">
              <w:r>
                <w:rPr>
                  <w:rStyle w:val="InternetLink"/>
                  <w:sz w:val="20"/>
                </w:rPr>
                <w:t>Press Release dated July 20, 2026</w:t>
              </w:r>
            </w:hyperlink>
          </w:p>
        </w:tc>
      </w:tr>
      <w:tr>
        <w:trPr/>
        <w:tc>
          <w:tcPr>
            <w:tcW w:w="665" w:type="dxa"/>
            <w:tcBorders/>
            <w:tcMar>
              <w:bottom w:w="0" w:type="dxa"/>
            </w:tcMar>
            <w:vAlign w:val="center"/>
          </w:tcPr>
          <w:p>
            <w:pPr>
              <w:pStyle w:val="TableContents"/>
              <w:bidi w:val="0"/>
              <w:spacing w:before="0" w:after="283"/>
              <w:jc w:val="left"/>
              <w:rPr>
                <w:sz w:val="20"/>
              </w:rPr>
            </w:pPr>
            <w:r>
              <w:rPr>
                <w:sz w:val="20"/>
              </w:rPr>
              <w:t>99.8</w:t>
            </w:r>
          </w:p>
        </w:tc>
        <w:tc>
          <w:tcPr>
            <w:tcW w:w="60" w:type="dxa"/>
            <w:tcBorders/>
            <w:tcMar>
              <w:bottom w:w="0" w:type="dxa"/>
            </w:tcMar>
            <w:vAlign w:val="center"/>
          </w:tcPr>
          <w:p>
            <w:pPr>
              <w:pStyle w:val="TableContents"/>
              <w:bidi w:val="0"/>
              <w:spacing w:before="0" w:after="283"/>
              <w:jc w:val="left"/>
              <w:rPr/>
            </w:pPr>
            <w:r>
              <w:rPr/>
              <w:t> </w:t>
            </w:r>
          </w:p>
        </w:tc>
        <w:tc>
          <w:tcPr>
            <w:tcW w:w="5630" w:type="dxa"/>
            <w:tcBorders/>
            <w:tcMar>
              <w:bottom w:w="0" w:type="dxa"/>
            </w:tcMar>
            <w:vAlign w:val="center"/>
          </w:tcPr>
          <w:p>
            <w:pPr>
              <w:pStyle w:val="TableContents"/>
              <w:bidi w:val="0"/>
              <w:spacing w:before="0" w:after="283"/>
              <w:jc w:val="left"/>
              <w:rPr/>
            </w:pPr>
            <w:hyperlink w:anchor="veraxabiotechag_ex99-8.htm">
              <w:r>
                <w:rPr>
                  <w:rStyle w:val="InternetLink"/>
                  <w:sz w:val="20"/>
                </w:rPr>
                <w:t>Press Release dated July 23,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895"/>
        <w:gridCol w:w="710"/>
        <w:gridCol w:w="2525"/>
      </w:tblGrid>
      <w:tr>
        <w:trPr/>
        <w:tc>
          <w:tcPr>
            <w:tcW w:w="189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89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27, 2026</w:t>
            </w:r>
          </w:p>
        </w:tc>
        <w:tc>
          <w:tcPr>
            <w:tcW w:w="710" w:type="dxa"/>
            <w:tcBorders/>
            <w:vAlign w:val="center"/>
          </w:tcPr>
          <w:p>
            <w:pPr>
              <w:pStyle w:val="TableContents"/>
              <w:bidi w:val="0"/>
              <w:spacing w:before="0" w:after="283"/>
              <w:jc w:val="left"/>
              <w:rPr/>
            </w:pPr>
            <w:r>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Carl von Halem</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52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Carl von Halem</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52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Interim Chief Financial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Shareholders Approve All Proposals at Extraordinary</w:t>
        <w:br/>
        <w:t>General Meeting, Strengthening Strategic Flexibility for Future Growth</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24, 2026 –</w:t>
      </w:r>
      <w:r>
        <w:rPr>
          <w:rFonts w:ascii="Times New Roman;Times;Serif" w:hAnsi="Times New Roman;Times;Serif"/>
          <w:b w:val="false"/>
          <w:i w:val="false"/>
          <w:caps w:val="false"/>
          <w:smallCaps w:val="false"/>
          <w:sz w:val="20"/>
        </w:rPr>
        <w:t xml:space="preserve"> VERAXA Biotech AG (NASDAQ: VRXA; “VERAXA”), an emerging leader in the design and development of next-generation cancer therapeutics, held an Extraordinary General Meeting (EGM) today. </w:t>
      </w:r>
      <w:r>
        <w:rPr>
          <w:rFonts w:ascii="Times New Roman;Times;Serif" w:hAnsi="Times New Roman;Times;Serif"/>
          <w:b w:val="false"/>
          <w:i w:val="false"/>
          <w:caps w:val="false"/>
          <w:smallCaps w:val="false"/>
          <w:color w:val="212121"/>
          <w:sz w:val="20"/>
        </w:rPr>
        <w:t>All resolutions proposed by the Board of Directors and previously communicated in the company’s July 2, 2026 shareholder materials were approved by an overwhelming majority of more than 99.94% of the shareholders present or represented at the meeting</w:t>
      </w:r>
      <w:r>
        <w:rPr>
          <w:rFonts w:ascii="Times New Roman;Times;Serif" w:hAnsi="Times New Roman;Times;Serif"/>
          <w:b w:val="false"/>
          <w:i w:val="false"/>
          <w:caps w:val="false"/>
          <w:smallCaps w:val="false"/>
          <w:sz w:val="20"/>
        </w:rPr>
        <w:t>. In total, 102,102,301 voting shares, corresponding to 72.20% of the total share capital, were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approved resolutions provide VERAXA with an enhanced corporate and financing framework designed to support the Company’s long-term growth strategy, business development activities, potential strategic partnerships, and future corporate initiatives. The adopted amendments include the introduction of conditional share capital for shareholder options and warrants, the implementation of a capital band through December 31, 2030, and an increase in the maximum number of members of the Board of Directors from five to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approvals represent an important step in equipping VERAXA with the flexibility required to execute on its strategic objectives in a dynamic biotechnology environment,” said Oliver R. Baumann, Chairman of the Board of Directors of VERAXA. “As we continue advancing our proprietary BiTAC</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platform and expanding our oncology pipeline, it is essential that we maintain the ability to pursue strategic opportunities, support future growth initiatives, and act efficiently when opportunities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newly approved framework is intended to provide the company with additional flexibility in connection with potential acquisitions, strategic collaborations, future investment projects, capital markets activities, and the continued advancement of VERAXA’s technology platforms and product candidates. The amendments are designed to align the company’s governance and financing capabilities with its long-term objective of building a leading oncology-focused biotechnology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vote reflects continued shareholder support for the Company’s strategy and its focus on developing innovative antibody-based therapeutics for patients with significant unmet medical needs. VERAXA remains committed to disciplined execution, scientific excellence, and creating long-term value for all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left"/>
        <w:rPr/>
      </w:pPr>
      <w:bookmarkStart w:id="4" w:name="veraxabiotechag_ex99-2.htm"/>
      <w:bookmarkStart w:id="5" w:name="ksveraxabiotechag_ex992"/>
      <w:bookmarkEnd w:id="4"/>
      <w:bookmarkEnd w:id="5"/>
      <w:r>
        <w:rPr/>
        <w:t> </w:t>
      </w:r>
      <w:r>
        <w:br w:type="page"/>
      </w:r>
    </w:p>
    <w:p>
      <w:pPr>
        <w:pStyle w:val="TextBody"/>
        <w:bidi w:val="0"/>
        <w:spacing w:before="0" w:after="0"/>
        <w:jc w:val="right"/>
        <w:rPr>
          <w:b/>
        </w:rPr>
      </w:pPr>
      <w:r>
        <w:rPr>
          <w:b/>
        </w:rPr>
        <w:t>Exhibit 99.2</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8"/>
        <w:gridCol w:w="4884"/>
        <w:gridCol w:w="60"/>
        <w:gridCol w:w="209"/>
        <w:gridCol w:w="4434"/>
      </w:tblGrid>
      <w:tr>
        <w:trPr/>
        <w:tc>
          <w:tcPr>
            <w:tcW w:w="5502" w:type="dxa"/>
            <w:gridSpan w:val="2"/>
            <w:tcBorders/>
            <w:vAlign w:val="center"/>
          </w:tcPr>
          <w:p>
            <w:pPr>
              <w:pStyle w:val="TableContents"/>
              <w:bidi w:val="0"/>
              <w:spacing w:before="0" w:after="283"/>
              <w:jc w:val="center"/>
              <w:rPr>
                <w:b/>
                <w:sz w:val="20"/>
              </w:rPr>
            </w:pPr>
            <w:r>
              <w:rPr>
                <w:b/>
                <w:sz w:val="20"/>
              </w:rPr>
              <w:t>STATUTEN</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w:t>
              <w:br/>
              <w:t>(Veraxa Biotech SA)</w:t>
              <w:br/>
              <w:t>(Veraxa Biotech Ltd)</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w:t>
              <w:br/>
              <w:t>(Veraxa Biotech SA)</w:t>
              <w:br/>
              <w:t>(Veraxa Biotech Ltd)</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center"/>
              <w:rPr>
                <w:sz w:val="20"/>
              </w:rPr>
            </w:pPr>
            <w:r>
              <w:rPr>
                <w:sz w:val="20"/>
              </w:rPr>
              <w:t>mit Sitz in Zürich / Schweiz</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283"/>
              <w:jc w:val="center"/>
              <w:rPr>
                <w:sz w:val="20"/>
              </w:rPr>
            </w:pPr>
            <w:r>
              <w:rPr>
                <w:sz w:val="20"/>
              </w:rPr>
              <w:t>having its registered office in Zurich / Switzerland</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618"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4884"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Firma, Sitz, Dauer und Zweck der Gesellschaft</w:t>
            </w:r>
          </w:p>
        </w:tc>
        <w:tc>
          <w:tcPr>
            <w:tcW w:w="60" w:type="dxa"/>
            <w:tcBorders/>
            <w:vAlign w:val="center"/>
          </w:tcPr>
          <w:p>
            <w:pPr>
              <w:pStyle w:val="TableContents"/>
              <w:bidi w:val="0"/>
              <w:spacing w:before="0" w:after="283"/>
              <w:jc w:val="both"/>
              <w:rPr>
                <w:caps/>
              </w:rPr>
            </w:pPr>
            <w:r>
              <w:rPr>
                <w:caps/>
              </w:rPr>
              <w:t> </w:t>
            </w:r>
          </w:p>
        </w:tc>
        <w:tc>
          <w:tcPr>
            <w:tcW w:w="209"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4434"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 registered office, duration and purpose of the company</w:t>
            </w:r>
          </w:p>
        </w:tc>
      </w:tr>
      <w:tr>
        <w:trPr/>
        <w:tc>
          <w:tcPr>
            <w:tcW w:w="618" w:type="dxa"/>
            <w:tcBorders/>
            <w:vAlign w:val="center"/>
          </w:tcPr>
          <w:p>
            <w:pPr>
              <w:pStyle w:val="TableContents"/>
              <w:bidi w:val="0"/>
              <w:spacing w:before="0" w:after="283"/>
              <w:jc w:val="both"/>
              <w:rPr/>
            </w:pPr>
            <w:r>
              <w:rPr/>
              <w:t> </w:t>
            </w:r>
          </w:p>
        </w:tc>
        <w:tc>
          <w:tcPr>
            <w:tcW w:w="48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4434" w:type="dxa"/>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both"/>
              <w:rPr>
                <w:b/>
                <w:sz w:val="20"/>
              </w:rPr>
            </w:pPr>
            <w:r>
              <w:rPr>
                <w:b/>
                <w:sz w:val="20"/>
              </w:rPr>
              <w:t>Artikel 1 – Firma und Sitz</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 Corporate Name and Registered Office</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Unter der Firma</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283"/>
              <w:jc w:val="left"/>
              <w:rPr>
                <w:sz w:val="20"/>
              </w:rPr>
            </w:pPr>
            <w:r>
              <w:rPr>
                <w:sz w:val="20"/>
              </w:rPr>
              <w:t>Under the name</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br/>
              <w:t>(Veraxa Biotech SA)</w:t>
              <w:br/>
              <w:t>(Veraxa Biotech Ltd)</w:t>
            </w:r>
          </w:p>
        </w:tc>
        <w:tc>
          <w:tcPr>
            <w:tcW w:w="60" w:type="dxa"/>
            <w:tcBorders/>
            <w:vAlign w:val="center"/>
          </w:tcPr>
          <w:p>
            <w:pPr>
              <w:pStyle w:val="TableContents"/>
              <w:bidi w:val="0"/>
              <w:spacing w:before="0" w:after="283"/>
              <w:jc w:val="center"/>
              <w:rPr/>
            </w:pPr>
            <w:r>
              <w:rPr/>
              <w:t> </w:t>
            </w:r>
          </w:p>
        </w:tc>
        <w:tc>
          <w:tcPr>
            <w:tcW w:w="4643" w:type="dxa"/>
            <w:gridSpan w:val="2"/>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br/>
              <w:t>(Veraxa Biotech SA)</w:t>
              <w:br/>
              <w:t>(Veraxa Biotech Ltd)</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both"/>
              <w:rPr>
                <w:sz w:val="20"/>
              </w:rPr>
            </w:pPr>
            <w:r>
              <w:rPr>
                <w:sz w:val="20"/>
              </w:rPr>
              <w:t>besteht für unbeschränkte Dauer eine Aktiengesellschaft gemäss Art. 620 ff. OR mit Sitz in Zürich (die “</w:t>
            </w:r>
            <w:r>
              <w:rPr>
                <w:b/>
                <w:sz w:val="20"/>
              </w:rPr>
              <w:t>Gesellschaft</w:t>
            </w:r>
            <w:r>
              <w:rPr>
                <w:sz w:val="20"/>
              </w:rPr>
              <w:t>”).</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sz w:val="20"/>
              </w:rPr>
            </w:pPr>
            <w:r>
              <w:rPr>
                <w:sz w:val="20"/>
              </w:rPr>
              <w:t>a joint-stock corporation according to art. 620 et seq. of the Swiss Code of Obligations (“</w:t>
            </w:r>
            <w:r>
              <w:rPr>
                <w:b/>
                <w:sz w:val="20"/>
              </w:rPr>
              <w:t>CO</w:t>
            </w:r>
            <w:r>
              <w:rPr>
                <w:sz w:val="20"/>
              </w:rPr>
              <w:t>”) exists for an unlimited period, having its registered office in Zurich (the “</w:t>
            </w:r>
            <w:r>
              <w:rPr>
                <w:b/>
                <w:sz w:val="20"/>
              </w:rPr>
              <w:t>Company</w:t>
            </w:r>
            <w:r>
              <w:rPr>
                <w:sz w:val="20"/>
              </w:rPr>
              <w:t>”).</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both"/>
              <w:rPr>
                <w:b/>
                <w:sz w:val="20"/>
              </w:rPr>
            </w:pPr>
            <w:r>
              <w:rPr>
                <w:b/>
                <w:sz w:val="20"/>
              </w:rPr>
              <w:t>Artikel 2 – Zweck</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b/>
                <w:sz w:val="20"/>
              </w:rPr>
            </w:pPr>
            <w:r>
              <w:rPr>
                <w:b/>
                <w:sz w:val="20"/>
              </w:rPr>
              <w:t>Article 2 – Purpose</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both"/>
              <w:rPr>
                <w:sz w:val="20"/>
              </w:rPr>
            </w:pPr>
            <w:r>
              <w:rPr>
                <w:sz w:val="20"/>
              </w:rPr>
              <w:t>Zweck der Gesellschaft ist die Beteiligung an anderen Unternehmen im Bereich des mikrofluidischen Screenings von diagnostischen oder therapeutischen Antikörpern sowie der chemischen oder rekombinanten Modifizierung, Formatierung, Validierung, präklinischen und/oder klinischen Entwicklung und Vermarktung im In- und Ausland sowie deren strategische Führung.</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sz w:val="20"/>
              </w:rPr>
            </w:pPr>
            <w:r>
              <w:rPr>
                <w:sz w:val="20"/>
              </w:rPr>
              <w:t>The purpose of the Company is to participate in other companies in the field of microfluidic screening of diagnostic or therapeutic antibodies as well as chemical or recombinant modification, formatting, validation, preclinical and/or clinical development and marketing in Switzerland and abroad, as well as to strategically manage these companies.</w:t>
            </w:r>
          </w:p>
        </w:tc>
      </w:tr>
      <w:tr>
        <w:trPr/>
        <w:tc>
          <w:tcPr>
            <w:tcW w:w="5502"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pPr>
            <w:r>
              <w:rPr/>
              <w:t> </w:t>
            </w:r>
          </w:p>
        </w:tc>
      </w:tr>
      <w:tr>
        <w:trPr/>
        <w:tc>
          <w:tcPr>
            <w:tcW w:w="5502" w:type="dxa"/>
            <w:gridSpan w:val="2"/>
            <w:tcBorders/>
            <w:vAlign w:val="center"/>
          </w:tcPr>
          <w:p>
            <w:pPr>
              <w:pStyle w:val="TableContents"/>
              <w:bidi w:val="0"/>
              <w:spacing w:before="0" w:after="283"/>
              <w:jc w:val="both"/>
              <w:rPr>
                <w:sz w:val="20"/>
              </w:rPr>
            </w:pPr>
            <w:r>
              <w:rPr>
                <w:sz w:val="20"/>
              </w:rPr>
              <w:t>Die Gesellschaft kann Beteiligungen erwerben, halten, verwalten und veräussern und bei Unternehmen, an denen sie beteiligt ist, Dienstleistungen erbringen. Die Gesellschaft kann im In- und Ausland Zweigniederlassungen und Tochtergesellschaften errichten. Die Gesellschaft kann Dritten, einschliesslich Gesellschaften, an denen sie direkt oder indirekt beteiligt ist, sowie direkten oder indirekten Aktionären der Gesellschaft oder Gesellschaften, an denen diese direkten oder indirekten Aktionäre der Gesellschaft direkt oder indirekt beteiligt sind, Darlehen oder andere Finanzierungen gewähren, mit solchen Dritten Cash-Pooling-Verträge abschliessen und für deren Verbindlichkeiten Sicherheiten aller Art bestellen und Garantien abgeben, in jedem Fall ob gegen Entgelt oder nicht und auch wenn diese Rechtsgeschäfte im ausschliesslichen Interesse der Dritten liegen. Die Gesellschaft kann im In- und Ausland Grundstücke erwerben, verwalten, belasten und veräussern. Die Gesellschaft kann jede weitere Tätigkeit ausüben, welche mit den erwähnten Zwecken direkt oder indirekt zusammenhängt.</w:t>
            </w:r>
          </w:p>
        </w:tc>
        <w:tc>
          <w:tcPr>
            <w:tcW w:w="60" w:type="dxa"/>
            <w:tcBorders/>
            <w:vAlign w:val="center"/>
          </w:tcPr>
          <w:p>
            <w:pPr>
              <w:pStyle w:val="TableContents"/>
              <w:bidi w:val="0"/>
              <w:spacing w:before="0" w:after="283"/>
              <w:jc w:val="both"/>
              <w:rPr/>
            </w:pPr>
            <w:r>
              <w:rPr/>
              <w:t> </w:t>
            </w:r>
          </w:p>
        </w:tc>
        <w:tc>
          <w:tcPr>
            <w:tcW w:w="4643" w:type="dxa"/>
            <w:gridSpan w:val="2"/>
            <w:tcBorders/>
            <w:vAlign w:val="center"/>
          </w:tcPr>
          <w:p>
            <w:pPr>
              <w:pStyle w:val="TableContents"/>
              <w:bidi w:val="0"/>
              <w:spacing w:before="0" w:after="283"/>
              <w:jc w:val="both"/>
              <w:rPr>
                <w:sz w:val="20"/>
              </w:rPr>
            </w:pPr>
            <w:r>
              <w:rPr>
                <w:sz w:val="20"/>
              </w:rPr>
              <w:t>The Company may acquire, hold, manage, and dispose of investments and provide services to companies in which it holds a participation. The Company may establish branches and subsidiaries in Switzerland and abroad. The Company may grant loans or other financing to third parties, including companies in which it holds a direct or indirect participation, as well as direct or indirect shareholders of the Company or companies in which these direct or indirect shareholders of the Company hold a direct or indirect participation, enter into cash pooling agreements with such third parties, and provide all types of security and guarantees for their liabilities, in each case whether for consideration or not and even if these legal transactions are in the exclusive interest of the third parties. The Company may acquire, manage, encumber, and dispose of real estate in Switzerland and abroad. The Company may carry out any other activities directly or indirectly related to the aforementioned purposes.</w:t>
            </w:r>
          </w:p>
        </w:tc>
      </w:tr>
    </w:tbl>
    <w:p>
      <w:pPr>
        <w:pStyle w:val="TextBody"/>
        <w:bidi w:val="0"/>
        <w:spacing w:before="0" w:after="0"/>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4694"/>
        <w:gridCol w:w="60"/>
        <w:gridCol w:w="774"/>
        <w:gridCol w:w="3697"/>
      </w:tblGrid>
      <w:tr>
        <w:trPr/>
        <w:tc>
          <w:tcPr>
            <w:tcW w:w="980"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II.</w:t>
            </w:r>
          </w:p>
        </w:tc>
        <w:tc>
          <w:tcPr>
            <w:tcW w:w="4694"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AKTIENKapital</w:t>
            </w:r>
          </w:p>
        </w:tc>
        <w:tc>
          <w:tcPr>
            <w:tcW w:w="60" w:type="dxa"/>
            <w:tcBorders/>
            <w:vAlign w:val="center"/>
          </w:tcPr>
          <w:p>
            <w:pPr>
              <w:pStyle w:val="TableContents"/>
              <w:bidi w:val="0"/>
              <w:spacing w:before="0" w:after="283"/>
              <w:jc w:val="left"/>
              <w:rPr>
                <w:caps/>
              </w:rPr>
            </w:pPr>
            <w:r>
              <w:rPr>
                <w:caps/>
              </w:rPr>
              <w:t> </w:t>
            </w:r>
          </w:p>
        </w:tc>
        <w:tc>
          <w:tcPr>
            <w:tcW w:w="774"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II.</w:t>
            </w:r>
          </w:p>
        </w:tc>
        <w:tc>
          <w:tcPr>
            <w:tcW w:w="3697"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Share Capital</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Artikel 3 – Aktienkapital und Aktien</w:t>
            </w:r>
          </w:p>
        </w:tc>
        <w:tc>
          <w:tcPr>
            <w:tcW w:w="60" w:type="dxa"/>
            <w:tcBorders/>
            <w:vAlign w:val="center"/>
          </w:tcPr>
          <w:p>
            <w:pPr>
              <w:pStyle w:val="TableContents"/>
              <w:bidi w:val="0"/>
              <w:spacing w:before="0" w:after="283"/>
              <w:jc w:val="left"/>
              <w:rPr/>
            </w:pPr>
            <w:r>
              <w:rPr/>
              <w:t> </w:t>
            </w:r>
          </w:p>
        </w:tc>
        <w:tc>
          <w:tcPr>
            <w:tcW w:w="4471"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3 – Share Capital and Shares</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Das Aktienkapital beträgt CHF 1’248’634 + 50/453 und ist eingeteilt in 141’407’813 Namenaktien zu je CHF 100/11’325 Nennwert. Die Aktien sind vollständig liberiert.</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amounts to CHF 1,248,634 + 50/453 and is divided into 141,407,813 registered common shares with a par value of CHF 100/11,325 each. The shares are paid up in full.</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Artikel 3a – Bedingtes Aktienkapital für Aktionärsoptionen 1</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Article 3a – Conditional Capital for Shareholders’ Options 1</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Das Aktienkapital der Gesellschaft wird im Maximalbetrag von CHF 459’424 erhöht durch Ausgabe von höchstens 52’029’768 vollständig zu liberierenden Namenaktien mit einem Nennwert von je CHF 100/11’325 durch Ausübung von Rechten oder Anwartschaften auf Erwerb von Aktien (Erwerbsrechte), welche: (a) in Verbindung mit Anleihens- oder ähnlichen Instrumenten, einschliesslich Wandel- oder Optionsanleihen, Darlehen oder anderer Finanzierungsinstrumente, der Gesellschaft oder von Konzerngesellschaften (zusammen nachfolgend “aktiengebundene Finanzierungsinstrumente” genannt) eingeräumt oder auferlegt werden; oder (b) an beliebige Personen (seien es Aktionäre oder Dritte) eingeräumt werden (nachfolgend “Warrants” genannt).</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of the Company may be increased by up to CHF 459’424 by the issue of up to 52’029’768 fully-paid-up registered shares with a par value of CHF 100/11’325 each by exercising rights or entitlements to acquire shares (acquisition rights), which are: (a) granted or imposed in connection with bonds or similar instruments, including convertible bonds or bonds with warrants, loans or other financing instruments, of the Company or of consolidated subsidiaries (hereinafter collectively the “Equity-Linked Financing Instruments”), or (b) granted to any persons (whether shareholders or third parties) (hereinafter referred to as “Warrants”).</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Das Bezugsrecht der Aktionäre ist ausgeschlossen.</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Existing shareholders’ subscription rights are excluded.</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 Verwaltungsrat ist ermächtigt, bei der Ausgabe von aktiengebundenen Finanzierungsinstrumenten und bei Warrants das Vorwegzeichnungsrecht der Aktionäre zu beschränken oder aufzuheben im Zusammenhang mit (a) der Finanzierung (einschliesslich Refinanzierung) des Erwerbs von Unternehmen, Unternehmensteilen, Beteiligungen oder von neuen Investitionsvorhaben der Gesellschaft oder (b) der Emission auf nationalen oder internationalen Kapitalmärkten oder der Ausgabe an einen oder mehrere strategische Investoren oder Finanzinvestoren.</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of Directors is authorized, when issuing Equity-Linked Financing Instruments and Warrants to restrict or cancel shareholders’ advance subscription rights in connection with (a) the financing (including refinancing) of the acquisition of companies, parts of companies, participations or new investment projects of the Company, or (b) the issue on national or international capital markets or to one or more strategic or financial investors.</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Soweit das Vorwegzeichnungsrecht ausgeschlossen ist, sind (i) die aktiengebundenen Finanzierungsinstrumente zu Marktbedingungen zu platzieren, (ii) die Ausübungsfrist der Wandelrechte auf höchstens zwanzig Jahre und jene der Optionsrechte auf höchstens zehn Jahre ab dem Zeitpunkt der Emission (oder einer Neufestsetzung der Bedingungen) anzusetzen und (iii) der Wandel- oder Ausübungspreis oder die Berechnungsmethode eines solchen Preises für die neuen Aktien entsprechend Marktbedingungen und -praxis im Zeitpunkt der Emission der aktiengebundenen Finanzierungsinstrumente, der Neufestsetzung der Bedingungen oder der Ausgabe von neuen Aktien festzulegen.</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the right of advance subscription is excluded, the following conditions shall apply: (i) the Equity-Linked Financing Instruments are to be placed at market conditions; (ii) the exercise period of the conversion rights is to be set at a maximum of 20 years and that of the option rights at a maximum of 10 years from the date of the issue (or of a resetting of the terms and conditions); and (iii) the conversion or exercise price or the calculation methodology for such price for the new shares is to be set in line with market conditions and practice prevailing at the time of the issue of the Equity-Linked Financing Instruments, of a resetting of the terms and conditions, or of the new shares.</w:t>
            </w:r>
          </w:p>
        </w:tc>
      </w:tr>
      <w:tr>
        <w:trPr/>
        <w:tc>
          <w:tcPr>
            <w:tcW w:w="56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pPr>
            <w:r>
              <w:rPr/>
              <w:t> </w:t>
            </w:r>
          </w:p>
        </w:tc>
      </w:tr>
      <w:tr>
        <w:trPr/>
        <w:tc>
          <w:tcPr>
            <w:tcW w:w="567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Die Erwerbsrechte sind mittels schriftlicher Mitteilung an die Gesellschaft oder in einer anderen vom Verwaltungsrat festgelegten Form auszuüben.</w:t>
            </w:r>
          </w:p>
        </w:tc>
        <w:tc>
          <w:tcPr>
            <w:tcW w:w="60" w:type="dxa"/>
            <w:tcBorders/>
            <w:vAlign w:val="center"/>
          </w:tcPr>
          <w:p>
            <w:pPr>
              <w:pStyle w:val="TableContents"/>
              <w:bidi w:val="0"/>
              <w:spacing w:before="0" w:after="283"/>
              <w:jc w:val="both"/>
              <w:rPr/>
            </w:pPr>
            <w:r>
              <w:rPr/>
              <w:t> </w:t>
            </w:r>
          </w:p>
        </w:tc>
        <w:tc>
          <w:tcPr>
            <w:tcW w:w="4471"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Acquisition Rights shall be exercised by way of written notice to the company or in another form as determined by the board of directors.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0"/>
        <w:gridCol w:w="2104"/>
        <w:gridCol w:w="60"/>
        <w:gridCol w:w="2012"/>
        <w:gridCol w:w="2519"/>
      </w:tblGrid>
      <w:tr>
        <w:trPr/>
        <w:tc>
          <w:tcPr>
            <w:tcW w:w="5614" w:type="dxa"/>
            <w:gridSpan w:val="2"/>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3b – Bedingtes Aktienkapital für Aktionärsoptionen 2</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b/>
                <w:sz w:val="20"/>
              </w:rPr>
            </w:pPr>
            <w:r>
              <w:rPr>
                <w:b/>
                <w:sz w:val="20"/>
              </w:rPr>
              <w:t>Article 3b – Conditional Capital for Shareholders’ Options 2</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Aktienkapital wird im Maximalbetrag von CHF 44’152 durch Ausgabe von höchstens 5’000’214 vollständig zu liberierenden Namenaktien mit einem Nennwert von je CHF 100/11’325 erhöht durch Ausübung von Optionsrechten, welche in Verbindung mit der Fusion der Gesellschaft Aktionären der übertragenden Gesellschaft eingeräumt werden.</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shall be increased by a maximum amount of CHF 44,152 through the issuance of not more than 5,000,214 registered common shares with a par value of CHF 100/11,325 each by the exercise of option rights which are granted to shareholders of the transferring company in connection with the merger of the Company.</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283"/>
              <w:jc w:val="both"/>
              <w:rPr>
                <w:sz w:val="20"/>
              </w:rPr>
            </w:pPr>
            <w:r>
              <w:rPr>
                <w:sz w:val="20"/>
              </w:rPr>
              <w:t>Das Vorwegzeichnungsrecht und das Bezugsrecht der Aktionäre sind diesbezüglich ausgeschlossen. Der Ausgabebetrag der neuen Namenaktien entspricht mindestens dem Nominalwert und wird in bar oder Verrechnung liberiert. Der Verwaltungsrat regelt die übrigen Bedingungen und Voraussetzungen für die Ausübung der Optionsrechte.</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pre-emptive rights and subscription rights of shareholders are excluded. The issue price of the new registered shares shall at least correspond to the par value and shall be paid in cash or by offsetting of claims. The Board of Directors shall determine the other conditions and prerequisites of the exercise of the options.</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Ausübung der Optionsrechte und des Verzichts auf diese Rechte erfolgt schriftlich oder elektronisch. Die elektronische Ausübung oder der elektronische Verzicht bedürfen keiner qualifizierten elektronischen Signatur.</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 option rights and the waiver of these rights shall be in writing or electronically. The electronic exercise or waiver does not require a qualified electronic signature.</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3c – Bedingtes Aktienkapital für Mitarbeiter- und Berateroptionen</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b/>
                <w:sz w:val="20"/>
              </w:rPr>
            </w:pPr>
            <w:r>
              <w:rPr>
                <w:b/>
                <w:sz w:val="20"/>
              </w:rPr>
              <w:t>Article 3c – Conditional Capital for Employee and Advisory Options</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Aktienkapital wird im Maximalbetrag von CHF 120’376 durch Ausgabe von höchstens 13,632,582 vollständig zu liberierenden Namenaktien mit einem Nennwert von je CHF 100/11’325 erhöht durch Ausübung von Optionsrechten, welche zwecks Beteiligung von Mitarbeitern (einschliesslich Geschäftsleitung und Verwaltungsrat) und Beratern der Gesellschaft und / oder deren Tochtergesellschaften eingeräumt werden.</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shall be increased by a maximum amount of CHF 120,376 through the issuance of not more than 13,632,582 registered common shares with a par value of CHF 100/11’325 each by the exercise of option rights granted to employees (including members of the Board of Directors and the persons entrusted with management of the Company (the “</w:t>
            </w:r>
            <w:r>
              <w:rPr>
                <w:rFonts w:ascii="Times New Roman;Times;Serif" w:hAnsi="Times New Roman;Times;Serif"/>
                <w:b/>
                <w:i w:val="false"/>
                <w:caps w:val="false"/>
                <w:smallCaps w:val="false"/>
                <w:sz w:val="20"/>
              </w:rPr>
              <w:t>Executive Board</w:t>
            </w:r>
            <w:r>
              <w:rPr>
                <w:rFonts w:ascii="Times New Roman;Times;Serif" w:hAnsi="Times New Roman;Times;Serif"/>
                <w:b w:val="false"/>
                <w:i w:val="false"/>
                <w:caps w:val="false"/>
                <w:smallCaps w:val="false"/>
                <w:sz w:val="20"/>
              </w:rPr>
              <w:t>”) and advisors of the Company and / or its subsidiaries.</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Vorwegzeichnungsrecht und das Bezugsrecht der Aktionäre sind diesbezüglich ausgeschlossen. Die Beteiligung erfolgt gemäss durch den Verwaltungsrat zu erlassenden Reglementen (Mitarbeiterbeteiligungspläne).</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pre-emptive rights and subscription rights of shareholders are excluded. The Board of Directors shall prepare plans for the allocation of such option rights (employee stock option plans).</w:t>
            </w:r>
          </w:p>
        </w:tc>
      </w:tr>
      <w:tr>
        <w:trPr/>
        <w:tc>
          <w:tcPr>
            <w:tcW w:w="561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Ausgabebetrag wird vom Verwaltungsrat festgelegt, wobei dieser mindestens dem Nominalwert entsprechen muss.</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price shall be determined by the Board of Directors and at least correspond to the par value.</w:t>
            </w:r>
          </w:p>
        </w:tc>
      </w:tr>
      <w:tr>
        <w:trPr/>
        <w:tc>
          <w:tcPr>
            <w:tcW w:w="3510" w:type="dxa"/>
            <w:tcBorders/>
            <w:vAlign w:val="center"/>
          </w:tcPr>
          <w:p>
            <w:pPr>
              <w:pStyle w:val="TableContents"/>
              <w:bidi w:val="0"/>
              <w:spacing w:before="0" w:after="283"/>
              <w:jc w:val="both"/>
              <w:rPr/>
            </w:pPr>
            <w:r>
              <w:rPr/>
              <w:t> </w:t>
            </w:r>
          </w:p>
        </w:tc>
        <w:tc>
          <w:tcPr>
            <w:tcW w:w="21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012" w:type="dxa"/>
            <w:tcBorders/>
            <w:vAlign w:val="center"/>
          </w:tcPr>
          <w:p>
            <w:pPr>
              <w:pStyle w:val="TableContents"/>
              <w:bidi w:val="0"/>
              <w:spacing w:before="0" w:after="283"/>
              <w:jc w:val="both"/>
              <w:rPr/>
            </w:pPr>
            <w:r>
              <w:rPr/>
              <w:t> </w:t>
            </w:r>
          </w:p>
        </w:tc>
        <w:tc>
          <w:tcPr>
            <w:tcW w:w="2519" w:type="dxa"/>
            <w:tcBorders/>
            <w:vAlign w:val="center"/>
          </w:tcPr>
          <w:p>
            <w:pPr>
              <w:pStyle w:val="TableContents"/>
              <w:bidi w:val="0"/>
              <w:spacing w:before="0" w:after="283"/>
              <w:jc w:val="both"/>
              <w:rPr/>
            </w:pPr>
            <w:r>
              <w:rPr/>
              <w:t> </w:t>
            </w:r>
          </w:p>
        </w:tc>
      </w:tr>
      <w:tr>
        <w:trPr/>
        <w:tc>
          <w:tcPr>
            <w:tcW w:w="5614"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Ausübung der Optionsrechte und des Verzichts auf diese Rechte erfolgt schriftlich oder elektronisch. Die elektronische Ausübung oder der elektronische Verzicht bedürfen keiner qualifizierten elektronischen Signatur.</w:t>
            </w:r>
          </w:p>
        </w:tc>
        <w:tc>
          <w:tcPr>
            <w:tcW w:w="60" w:type="dxa"/>
            <w:tcBorders/>
            <w:vAlign w:val="center"/>
          </w:tcPr>
          <w:p>
            <w:pPr>
              <w:pStyle w:val="TableContents"/>
              <w:bidi w:val="0"/>
              <w:spacing w:before="0" w:after="283"/>
              <w:jc w:val="both"/>
              <w:rPr/>
            </w:pPr>
            <w:r>
              <w:rPr/>
              <w:t> </w:t>
            </w:r>
          </w:p>
        </w:tc>
        <w:tc>
          <w:tcPr>
            <w:tcW w:w="4531"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 option rights and the waiver of these rights shall be in writing or electronically. The electronic exercise or waiver does not require a qualified electronic signature.</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
        <w:gridCol w:w="285"/>
        <w:gridCol w:w="4876"/>
        <w:gridCol w:w="60"/>
        <w:gridCol w:w="62"/>
        <w:gridCol w:w="292"/>
        <w:gridCol w:w="4554"/>
      </w:tblGrid>
      <w:tr>
        <w:trPr/>
        <w:tc>
          <w:tcPr>
            <w:tcW w:w="5237" w:type="dxa"/>
            <w:gridSpan w:val="3"/>
            <w:tcBorders/>
            <w:vAlign w:val="center"/>
          </w:tcPr>
          <w:p>
            <w:pPr>
              <w:pStyle w:val="TableContents"/>
              <w:bidi w:val="0"/>
              <w:spacing w:before="0" w:after="283"/>
              <w:jc w:val="both"/>
              <w:rPr>
                <w:b/>
                <w:sz w:val="20"/>
              </w:rPr>
            </w:pPr>
            <w:r>
              <w:rPr>
                <w:b/>
                <w:sz w:val="20"/>
              </w:rPr>
              <w:t>Artikel 3d – Kapitalband</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b/>
                <w:sz w:val="20"/>
              </w:rPr>
            </w:pPr>
            <w:r>
              <w:rPr>
                <w:b/>
                <w:sz w:val="20"/>
              </w:rPr>
              <w:t>Article 3d – Capital Band</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5237"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jederzeit bis zum 31. Dezember 2030 das derzeitige Aktienkapital der Gesellschaft durch die Ausgabe von maximal 70’662’564 Namenaktien mit einem Nennwert von je CHF 100/11’325 um nominal maximal CHF 623’952 zu erhöhen, wobei die obere Grenze des Kapitalbands nominal CHF 1’871’856 und die untere Grenze nominal CHF 1’247’904 beträgt. Mehrfache Erhöhungen (auch in Teilbeträgen) im Rahmen des Kapitalbands, der Befristung und der nachfolgenden Bestimmungen sind zulässig.</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authorised to increase the current share capital of the Company at any time until 31 December 2030 by a maximum nominal amount of CHF 623,952 by issuing a maximum of 70,662,564 registered shares with a par value of CHF 100/11,325 each (common shares), whereby the upper limit of the capital band is nominally CHF 1,871,856 and the lower limit is nominally CHF 1,247,904. Multiple increases (also in instalments) within the framework of the capital band, the time limit and the following provisions are permitted.</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5237"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legt den Ausgabebetrag, die Art der Einlagen, den Zeitpunkt der Ausgabe, die Bedingungen der Bezugsrechtsausübung und den Beginn der Dividendenberechtigung fest. Dabei kann der Verwaltungsrat neue Aktien mittels Festübernahme durch eine Bank oder einen anderen Dritten und anschliessenden Angebots an die bisherigen Aktionäre ausgeben. Der Verwaltungsrat ist ermächtigt, den Handel mit Bezugsrechten zu beschränken oder auszuschliessen. Nicht ausgeübte Bezugsrechte kann der Verwaltungsrat verfallen lassen oder diese bzw. die Aktien, für welche Bezugsrechte eingeräumt, aber nicht ausgeübt werden, zu Marktkonditionen platzieren oder anderweitig im Interesse der Gesellschaft verwenden.</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determine the amount of share capital to be issued, the type of contribution, the date of issue, the conditions governing the exercise of subscription rights and the commencement of dividend entitlement. The Board of Directors may issue new shares which are underwritten by a bank or other third party and subsequently offered to existing shareholders. The Board of Directors is authorised to restrict or to prohibit trading in the subscription rights to the new shares. In the event of subscription rights not being exercised, the Board of Directors may, at its discretion, either allow such rights to expire worthless, or place them or the shares to which they entitle their holders either at market prices or in some other manner commensurate with the interests of the Company.</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5237" w:type="dxa"/>
            <w:gridSpan w:val="3"/>
            <w:tcBorders/>
            <w:vAlign w:val="center"/>
          </w:tcPr>
          <w:p>
            <w:pPr>
              <w:pStyle w:val="TableContents"/>
              <w:bidi w:val="0"/>
              <w:spacing w:before="0" w:after="283"/>
              <w:jc w:val="both"/>
              <w:rPr/>
            </w:pPr>
            <w:r>
              <w:rPr/>
              <w:t>Der Verwaltungsrat ist ermächtigt, die Be-zugsrechte der Aktionäre zu entziehen oder zu beschränken und Bezugsrechte einzelnen Aktionären oder Dritten zuzuweisen:</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The Board of Directors is authorized to withdraw or limit the subscription rights of shareholders and to allocate subscription rights to individual shareholders or third parties:</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76" w:type="dxa"/>
            <w:tcBorders/>
            <w:vAlign w:val="center"/>
          </w:tcPr>
          <w:p>
            <w:pPr>
              <w:pStyle w:val="TableContents"/>
              <w:bidi w:val="0"/>
              <w:spacing w:before="0" w:after="283"/>
              <w:jc w:val="both"/>
              <w:rPr/>
            </w:pPr>
            <w:r>
              <w:rPr/>
              <w:t> </w:t>
            </w:r>
          </w:p>
        </w:tc>
        <w:tc>
          <w:tcPr>
            <w:tcW w:w="285" w:type="dxa"/>
            <w:tcBorders/>
            <w:vAlign w:val="center"/>
          </w:tcPr>
          <w:p>
            <w:pPr>
              <w:pStyle w:val="TableContents"/>
              <w:bidi w:val="0"/>
              <w:spacing w:before="0" w:after="283"/>
              <w:jc w:val="both"/>
              <w:rPr/>
            </w:pPr>
            <w:r>
              <w:rPr/>
              <w:t>(i)</w:t>
            </w:r>
          </w:p>
        </w:tc>
        <w:tc>
          <w:tcPr>
            <w:tcW w:w="4876" w:type="dxa"/>
            <w:tcBorders/>
            <w:vAlign w:val="center"/>
          </w:tcPr>
          <w:p>
            <w:pPr>
              <w:pStyle w:val="TableContents"/>
              <w:bidi w:val="0"/>
              <w:spacing w:before="0" w:after="283"/>
              <w:jc w:val="both"/>
              <w:rPr/>
            </w:pPr>
            <w:r>
              <w:rPr/>
              <w:t>sofern die Aktien für die Übernahme von Unternehmen, Unternehmensteilen oder Beteiligungen oder für die Finanzierung oder Refinanzierung solcher Transaktionen, die Umwandlung von Darlehen oder Wertschriften in Aktien, die Finanzierung von neuen Investitionsvorhaben der Gesellschaft, den Erwerb oder die Finanzierung von Produkten, geistigem Eigentum oder Lizenzen oder die Finanzierung von strategischen Initiativen verwendet werden;</w:t>
            </w:r>
          </w:p>
        </w:tc>
        <w:tc>
          <w:tcPr>
            <w:tcW w:w="60" w:type="dxa"/>
            <w:tcBorders/>
            <w:vAlign w:val="center"/>
          </w:tcPr>
          <w:p>
            <w:pPr>
              <w:pStyle w:val="TableContents"/>
              <w:bidi w:val="0"/>
              <w:spacing w:before="0" w:after="283"/>
              <w:jc w:val="both"/>
              <w:rPr/>
            </w:pPr>
            <w:r>
              <w:rPr/>
              <w:t> </w:t>
            </w:r>
          </w:p>
        </w:tc>
        <w:tc>
          <w:tcPr>
            <w:tcW w:w="62"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(i)</w:t>
            </w:r>
          </w:p>
        </w:tc>
        <w:tc>
          <w:tcPr>
            <w:tcW w:w="4554" w:type="dxa"/>
            <w:tcBorders/>
            <w:vAlign w:val="center"/>
          </w:tcPr>
          <w:p>
            <w:pPr>
              <w:pStyle w:val="TableContents"/>
              <w:bidi w:val="0"/>
              <w:spacing w:before="0" w:after="283"/>
              <w:jc w:val="both"/>
              <w:rPr/>
            </w:pPr>
            <w:r>
              <w:rPr/>
              <w:t>of the new shares being used to acquire companies, parts thereof or participations, or for the financing or refinancing of such transactions, for the conversion of loans or securities into shares, for the financing of new investment projects undertaken, the acquisition or financing of products, intellectual property or licenses, or the financing of strategic initiatives undertaken by the Company;</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76" w:type="dxa"/>
            <w:tcBorders/>
            <w:vAlign w:val="center"/>
          </w:tcPr>
          <w:p>
            <w:pPr>
              <w:pStyle w:val="TableContents"/>
              <w:bidi w:val="0"/>
              <w:spacing w:before="0" w:after="283"/>
              <w:jc w:val="both"/>
              <w:rPr/>
            </w:pPr>
            <w:r>
              <w:rPr/>
              <w:t> </w:t>
            </w:r>
          </w:p>
        </w:tc>
        <w:tc>
          <w:tcPr>
            <w:tcW w:w="285" w:type="dxa"/>
            <w:tcBorders/>
            <w:vAlign w:val="center"/>
          </w:tcPr>
          <w:p>
            <w:pPr>
              <w:pStyle w:val="TableContents"/>
              <w:bidi w:val="0"/>
              <w:spacing w:before="0" w:after="283"/>
              <w:jc w:val="both"/>
              <w:rPr/>
            </w:pPr>
            <w:r>
              <w:rPr/>
              <w:t>(ii)</w:t>
            </w:r>
          </w:p>
        </w:tc>
        <w:tc>
          <w:tcPr>
            <w:tcW w:w="4876" w:type="dxa"/>
            <w:tcBorders/>
            <w:vAlign w:val="center"/>
          </w:tcPr>
          <w:p>
            <w:pPr>
              <w:pStyle w:val="TableContents"/>
              <w:bidi w:val="0"/>
              <w:spacing w:before="0" w:after="283"/>
              <w:jc w:val="both"/>
              <w:rPr/>
            </w:pPr>
            <w:r>
              <w:rPr/>
              <w:t>sofern die Aktien zum Zwecke der Erweiterung des Aktionärskreises im Zusammenhang mit der Kotierung der Aktien an einer Börse, um den Streubesitz zu erhöhen, oder zur Beteiligung von strategischen Partnern verwendet werden;</w:t>
            </w:r>
          </w:p>
        </w:tc>
        <w:tc>
          <w:tcPr>
            <w:tcW w:w="60" w:type="dxa"/>
            <w:tcBorders/>
            <w:vAlign w:val="center"/>
          </w:tcPr>
          <w:p>
            <w:pPr>
              <w:pStyle w:val="TableContents"/>
              <w:bidi w:val="0"/>
              <w:spacing w:before="0" w:after="283"/>
              <w:jc w:val="both"/>
              <w:rPr/>
            </w:pPr>
            <w:r>
              <w:rPr/>
              <w:t> </w:t>
            </w:r>
          </w:p>
        </w:tc>
        <w:tc>
          <w:tcPr>
            <w:tcW w:w="62"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(ii)</w:t>
            </w:r>
          </w:p>
        </w:tc>
        <w:tc>
          <w:tcPr>
            <w:tcW w:w="4554" w:type="dxa"/>
            <w:tcBorders/>
            <w:vAlign w:val="center"/>
          </w:tcPr>
          <w:p>
            <w:pPr>
              <w:pStyle w:val="TableContents"/>
              <w:bidi w:val="0"/>
              <w:spacing w:before="0" w:after="283"/>
              <w:jc w:val="both"/>
              <w:rPr/>
            </w:pPr>
            <w:r>
              <w:rPr/>
              <w:t>of the new shares being used either to extend the shareholder base [in conjunction with the listing of the shares on any stock exchange] to increase the free float or for investment by strategic partners;</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76" w:type="dxa"/>
            <w:tcBorders/>
            <w:vAlign w:val="center"/>
          </w:tcPr>
          <w:p>
            <w:pPr>
              <w:pStyle w:val="TableContents"/>
              <w:bidi w:val="0"/>
              <w:spacing w:before="0" w:after="283"/>
              <w:jc w:val="both"/>
              <w:rPr/>
            </w:pPr>
            <w:r>
              <w:rPr/>
              <w:t> </w:t>
            </w:r>
          </w:p>
        </w:tc>
        <w:tc>
          <w:tcPr>
            <w:tcW w:w="285" w:type="dxa"/>
            <w:tcBorders/>
            <w:vAlign w:val="center"/>
          </w:tcPr>
          <w:p>
            <w:pPr>
              <w:pStyle w:val="TableContents"/>
              <w:bidi w:val="0"/>
              <w:spacing w:before="0" w:after="283"/>
              <w:jc w:val="both"/>
              <w:rPr/>
            </w:pPr>
            <w:r>
              <w:rPr/>
              <w:t>(iii)</w:t>
            </w:r>
          </w:p>
        </w:tc>
        <w:tc>
          <w:tcPr>
            <w:tcW w:w="4876" w:type="dxa"/>
            <w:tcBorders/>
            <w:vAlign w:val="center"/>
          </w:tcPr>
          <w:p>
            <w:pPr>
              <w:pStyle w:val="TableContents"/>
              <w:bidi w:val="0"/>
              <w:spacing w:before="0" w:after="283"/>
              <w:jc w:val="both"/>
              <w:rPr/>
            </w:pPr>
            <w:r>
              <w:rPr/>
              <w:t>im Fall nationaler oder internationaler (auch privater) Platzierung von Aktien zu Marktkonditionen; oder</w:t>
            </w:r>
          </w:p>
        </w:tc>
        <w:tc>
          <w:tcPr>
            <w:tcW w:w="60" w:type="dxa"/>
            <w:tcBorders/>
            <w:vAlign w:val="center"/>
          </w:tcPr>
          <w:p>
            <w:pPr>
              <w:pStyle w:val="TableContents"/>
              <w:bidi w:val="0"/>
              <w:spacing w:before="0" w:after="283"/>
              <w:jc w:val="both"/>
              <w:rPr/>
            </w:pPr>
            <w:r>
              <w:rPr/>
              <w:t> </w:t>
            </w:r>
          </w:p>
        </w:tc>
        <w:tc>
          <w:tcPr>
            <w:tcW w:w="62"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(iii)</w:t>
            </w:r>
          </w:p>
        </w:tc>
        <w:tc>
          <w:tcPr>
            <w:tcW w:w="4554" w:type="dxa"/>
            <w:tcBorders/>
            <w:vAlign w:val="center"/>
          </w:tcPr>
          <w:p>
            <w:pPr>
              <w:pStyle w:val="TableContents"/>
              <w:bidi w:val="0"/>
              <w:spacing w:before="0" w:after="283"/>
              <w:jc w:val="both"/>
              <w:rPr/>
            </w:pPr>
            <w:r>
              <w:rPr/>
              <w:t>of the new shares being placed nationally or internationally (including by way of private placement) at market conditions;</w:t>
            </w:r>
          </w:p>
        </w:tc>
      </w:tr>
      <w:tr>
        <w:trPr/>
        <w:tc>
          <w:tcPr>
            <w:tcW w:w="523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8" w:type="dxa"/>
            <w:gridSpan w:val="3"/>
            <w:tcBorders/>
            <w:vAlign w:val="center"/>
          </w:tcPr>
          <w:p>
            <w:pPr>
              <w:pStyle w:val="TableContents"/>
              <w:bidi w:val="0"/>
              <w:spacing w:before="0" w:after="283"/>
              <w:jc w:val="both"/>
              <w:rPr/>
            </w:pPr>
            <w:r>
              <w:rPr/>
              <w:t> </w:t>
            </w:r>
          </w:p>
        </w:tc>
      </w:tr>
      <w:tr>
        <w:trPr/>
        <w:tc>
          <w:tcPr>
            <w:tcW w:w="76" w:type="dxa"/>
            <w:tcBorders/>
            <w:vAlign w:val="center"/>
          </w:tcPr>
          <w:p>
            <w:pPr>
              <w:pStyle w:val="TableContents"/>
              <w:bidi w:val="0"/>
              <w:spacing w:before="0" w:after="283"/>
              <w:jc w:val="both"/>
              <w:rPr/>
            </w:pPr>
            <w:r>
              <w:rPr/>
              <w:t> </w:t>
            </w:r>
          </w:p>
        </w:tc>
        <w:tc>
          <w:tcPr>
            <w:tcW w:w="285" w:type="dxa"/>
            <w:tcBorders/>
            <w:vAlign w:val="center"/>
          </w:tcPr>
          <w:p>
            <w:pPr>
              <w:pStyle w:val="TableContents"/>
              <w:bidi w:val="0"/>
              <w:spacing w:before="0" w:after="283"/>
              <w:jc w:val="both"/>
              <w:rPr/>
            </w:pPr>
            <w:r>
              <w:rPr/>
              <w:t>(iv)</w:t>
            </w:r>
          </w:p>
        </w:tc>
        <w:tc>
          <w:tcPr>
            <w:tcW w:w="4876" w:type="dxa"/>
            <w:tcBorders/>
            <w:vAlign w:val="center"/>
          </w:tcPr>
          <w:p>
            <w:pPr>
              <w:pStyle w:val="TableContents"/>
              <w:bidi w:val="0"/>
              <w:spacing w:before="0" w:after="283"/>
              <w:jc w:val="both"/>
              <w:rPr/>
            </w:pPr>
            <w:r>
              <w:rPr/>
              <w:t>sofern die Aktien zum Zwecke einer raschen und flexiblen Beschaffung von Eigenkapital, welche ohne Beschränkung oder Ausschluss des Bezugsrechts nur schwer oder zu schlechteren Bedingungen möglich wäre.</w:t>
            </w:r>
          </w:p>
        </w:tc>
        <w:tc>
          <w:tcPr>
            <w:tcW w:w="60" w:type="dxa"/>
            <w:tcBorders/>
            <w:vAlign w:val="center"/>
          </w:tcPr>
          <w:p>
            <w:pPr>
              <w:pStyle w:val="TableContents"/>
              <w:bidi w:val="0"/>
              <w:spacing w:before="0" w:after="283"/>
              <w:jc w:val="both"/>
              <w:rPr/>
            </w:pPr>
            <w:r>
              <w:rPr/>
              <w:t> </w:t>
            </w:r>
          </w:p>
        </w:tc>
        <w:tc>
          <w:tcPr>
            <w:tcW w:w="62"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(iv)</w:t>
            </w:r>
          </w:p>
        </w:tc>
        <w:tc>
          <w:tcPr>
            <w:tcW w:w="4554" w:type="dxa"/>
            <w:tcBorders/>
            <w:vAlign w:val="center"/>
          </w:tcPr>
          <w:p>
            <w:pPr>
              <w:pStyle w:val="TableContents"/>
              <w:bidi w:val="0"/>
              <w:spacing w:before="0" w:after="283"/>
              <w:jc w:val="both"/>
              <w:rPr/>
            </w:pPr>
            <w:r>
              <w:rPr/>
              <w:t>the new shares being issued for the for the purpose of raising equity capital in a swift and flexible manner, where such raising of capital would be difficult or would only be possible at less favorable conditions if the subscription rights to the new shares were not restricted or withdrawn.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7"/>
        <w:gridCol w:w="1286"/>
        <w:gridCol w:w="1246"/>
        <w:gridCol w:w="60"/>
        <w:gridCol w:w="1876"/>
        <w:gridCol w:w="1393"/>
        <w:gridCol w:w="1757"/>
      </w:tblGrid>
      <w:tr>
        <w:trPr/>
        <w:tc>
          <w:tcPr>
            <w:tcW w:w="5119" w:type="dxa"/>
            <w:gridSpan w:val="3"/>
            <w:tcBorders/>
            <w:vAlign w:val="center"/>
          </w:tcPr>
          <w:p>
            <w:pPr>
              <w:pStyle w:val="TableContents"/>
              <w:bidi w:val="0"/>
              <w:spacing w:before="0" w:after="283"/>
              <w:jc w:val="both"/>
              <w:rPr>
                <w:b/>
                <w:sz w:val="20"/>
              </w:rPr>
            </w:pPr>
            <w:r>
              <w:rPr>
                <w:b/>
                <w:sz w:val="20"/>
              </w:rPr>
              <w:t>Artikel 4 – Form der Aktien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b/>
                <w:sz w:val="20"/>
              </w:rPr>
            </w:pPr>
            <w:r>
              <w:rPr>
                <w:b/>
                <w:sz w:val="20"/>
              </w:rPr>
              <w:t>Article 4 – Form of Shares</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283"/>
              <w:jc w:val="both"/>
              <w:rPr>
                <w:sz w:val="20"/>
              </w:rPr>
            </w:pPr>
            <w:r>
              <w:rPr>
                <w:sz w:val="20"/>
              </w:rPr>
              <w:t>Die Gesellschaft kann ihre Namenaktien als Einzelurkunden, Globalurkunden, einfache Wertrechte im Sinne des OR (in der jeweils geltenden Fassung) oder als Bucheffekten ausgestalten.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its registered shares in the form of single certificates, global certificates, simple uncertified securities within the meaning of the CO (as amended from time to time) or intermediated securities.</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Übertragung von Bucheffekten und die Bestellung von Sicherheiten an Bucheffekten richten sich nach den Bestimmungen des Bucheffektengesetztes. Die Gesellschaft kann als Bucheffekten ausgestaltete Aktien aus dem entsprechenden Verwahrungssystem zurückziehen.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intermediated securities and furnishing of collateral in intermediated securities must conform with the regulations of the Intermediated Securities Act. The Company may withdraw shares issued as intermediated securities from the respective custody system.</w:t>
            </w:r>
          </w:p>
        </w:tc>
      </w:tr>
      <w:tr>
        <w:trPr/>
        <w:tc>
          <w:tcPr>
            <w:tcW w:w="3873" w:type="dxa"/>
            <w:gridSpan w:val="2"/>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269" w:type="dxa"/>
            <w:gridSpan w:val="2"/>
            <w:tcBorders/>
            <w:vAlign w:val="center"/>
          </w:tcPr>
          <w:p>
            <w:pPr>
              <w:pStyle w:val="TableContents"/>
              <w:bidi w:val="0"/>
              <w:spacing w:before="0" w:after="283"/>
              <w:jc w:val="both"/>
              <w:rPr/>
            </w:pPr>
            <w:r>
              <w:rPr/>
              <w:t> </w:t>
            </w:r>
          </w:p>
        </w:tc>
        <w:tc>
          <w:tcPr>
            <w:tcW w:w="1757" w:type="dxa"/>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Wertrechte können, sofern keine Bucheffekten geschaffen werden, nur durch Zession übertragen werden. Die Zession bedarf zur Gültigkeit der Anzeige an die Gesellschaft.</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Uncertified securities may only be transferred by way of assignment provided that they are not registered as intermediated securities. In order to be valid, the assignment must be reported to the Company.</w:t>
            </w:r>
          </w:p>
        </w:tc>
      </w:tr>
      <w:tr>
        <w:trPr/>
        <w:tc>
          <w:tcPr>
            <w:tcW w:w="2587" w:type="dxa"/>
            <w:tcBorders/>
            <w:vAlign w:val="center"/>
          </w:tcPr>
          <w:p>
            <w:pPr>
              <w:pStyle w:val="TableContents"/>
              <w:bidi w:val="0"/>
              <w:spacing w:before="0" w:after="283"/>
              <w:jc w:val="both"/>
              <w:rPr/>
            </w:pPr>
            <w:r>
              <w:rPr/>
              <w:t> </w:t>
            </w:r>
          </w:p>
        </w:tc>
        <w:tc>
          <w:tcPr>
            <w:tcW w:w="128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876" w:type="dxa"/>
            <w:tcBorders/>
            <w:vAlign w:val="center"/>
          </w:tcPr>
          <w:p>
            <w:pPr>
              <w:pStyle w:val="TableContents"/>
              <w:bidi w:val="0"/>
              <w:spacing w:before="0" w:after="283"/>
              <w:jc w:val="both"/>
              <w:rPr/>
            </w:pPr>
            <w:r>
              <w:rPr/>
              <w:t> </w:t>
            </w:r>
          </w:p>
        </w:tc>
        <w:tc>
          <w:tcPr>
            <w:tcW w:w="1393" w:type="dxa"/>
            <w:tcBorders/>
            <w:vAlign w:val="center"/>
          </w:tcPr>
          <w:p>
            <w:pPr>
              <w:pStyle w:val="TableContents"/>
              <w:bidi w:val="0"/>
              <w:spacing w:before="0" w:after="283"/>
              <w:jc w:val="both"/>
              <w:rPr/>
            </w:pPr>
            <w:r>
              <w:rPr/>
              <w:t> </w:t>
            </w:r>
          </w:p>
        </w:tc>
        <w:tc>
          <w:tcPr>
            <w:tcW w:w="1757" w:type="dxa"/>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Aktionär kann von der Gesellschaft jederzeit die Ausstellung einer Bescheinigung über seine Namenaktien verlangen. Der Aktionär hat jedoch keinen Anspruch auf Druck und Auslieferung von Wertpapieren oder Umwandlung von in bestimmter Form ausgegebenen Namenaktien in eine andere Form.</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at any time request from the Company the issuance of a confirmation regarding his or her registered shares. However, the shareholder is not entitled to the printing or delivery of securities or to the conversion of registered shares issued in a specific form into another form.</w:t>
            </w:r>
          </w:p>
        </w:tc>
      </w:tr>
      <w:tr>
        <w:trPr/>
        <w:tc>
          <w:tcPr>
            <w:tcW w:w="2587" w:type="dxa"/>
            <w:tcBorders/>
            <w:vAlign w:val="center"/>
          </w:tcPr>
          <w:p>
            <w:pPr>
              <w:pStyle w:val="TableContents"/>
              <w:bidi w:val="0"/>
              <w:spacing w:before="0" w:after="283"/>
              <w:jc w:val="both"/>
              <w:rPr/>
            </w:pPr>
            <w:r>
              <w:rPr/>
              <w:t> </w:t>
            </w:r>
          </w:p>
        </w:tc>
        <w:tc>
          <w:tcPr>
            <w:tcW w:w="128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876" w:type="dxa"/>
            <w:tcBorders/>
            <w:vAlign w:val="center"/>
          </w:tcPr>
          <w:p>
            <w:pPr>
              <w:pStyle w:val="TableContents"/>
              <w:bidi w:val="0"/>
              <w:spacing w:before="0" w:after="283"/>
              <w:jc w:val="both"/>
              <w:rPr/>
            </w:pPr>
            <w:r>
              <w:rPr/>
              <w:t> </w:t>
            </w:r>
          </w:p>
        </w:tc>
        <w:tc>
          <w:tcPr>
            <w:tcW w:w="1393" w:type="dxa"/>
            <w:tcBorders/>
            <w:vAlign w:val="center"/>
          </w:tcPr>
          <w:p>
            <w:pPr>
              <w:pStyle w:val="TableContents"/>
              <w:bidi w:val="0"/>
              <w:spacing w:before="0" w:after="283"/>
              <w:jc w:val="both"/>
              <w:rPr/>
            </w:pPr>
            <w:r>
              <w:rPr/>
              <w:t> </w:t>
            </w:r>
          </w:p>
        </w:tc>
        <w:tc>
          <w:tcPr>
            <w:tcW w:w="1757" w:type="dxa"/>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kann jederzeit Wertpapiere (Einzelurkunden, Zertifikate oder Globalurkunden) ausgeben oder ihre Namenaktien von einer Form in eine andere Form umwandeln sowie ausgegebene Wertpapiere, die bei ihr eingeliefert werden, annullieren.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securities (individual share titles, certificates or global certificates) or convert its registered shares from one form into another form at any time, as well as cancel issued securities that are returned to the Company.</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Werden Aktientitel ausgegeben, so müssen sie von mindestens einem Mitglied des Verwaltungsrats unterschrieben sein.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sz w:val="20"/>
              </w:rPr>
            </w:pPr>
            <w:r>
              <w:rPr>
                <w:sz w:val="20"/>
              </w:rPr>
              <w:t>If share certificates are issued, they must be signed by at least one member of the Board of Directors.</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5 – Zerlegung und Zusammenlegung von Aktien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b/>
                <w:sz w:val="20"/>
              </w:rPr>
            </w:pPr>
            <w:r>
              <w:rPr>
                <w:b/>
                <w:sz w:val="20"/>
              </w:rPr>
              <w:t>Article 5 – Splitting and Consolidation of Shares</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kann bei unverändert bleibendem Aktienkapital durch Statutenänderung jederzeit Namenaktien in solche von kleinerem Nennwert zerlegen oder zu solchen von grösserem Nennwert zusammenlegen.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amending the Articles of Association, the Meeting of Shareholders is authorized at any time – with unchanged share capital – to split shares into shares with lower par value or to consolidate shares into shares with higher par value.</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6 – Aktienbuch</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 Share Register</w:t>
            </w:r>
          </w:p>
        </w:tc>
      </w:tr>
      <w:tr>
        <w:trPr/>
        <w:tc>
          <w:tcPr>
            <w:tcW w:w="5119"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pPr>
            <w:r>
              <w:rPr/>
              <w:t> </w:t>
            </w:r>
          </w:p>
        </w:tc>
      </w:tr>
      <w:tr>
        <w:trPr/>
        <w:tc>
          <w:tcPr>
            <w:tcW w:w="5119" w:type="dxa"/>
            <w:gridSpan w:val="3"/>
            <w:tcBorders/>
            <w:vAlign w:val="center"/>
          </w:tcPr>
          <w:p>
            <w:pPr>
              <w:pStyle w:val="TableContents"/>
              <w:bidi w:val="0"/>
              <w:spacing w:before="0" w:after="283"/>
              <w:jc w:val="both"/>
              <w:rPr>
                <w:sz w:val="20"/>
              </w:rPr>
            </w:pPr>
            <w:r>
              <w:rPr>
                <w:sz w:val="20"/>
              </w:rPr>
              <w:t>Der Verwaltungsrat führt ein Aktienbuch, in welches die Eigentümer, Nutzniesser und Nominees mit Namen und Adressen bzw. bei juristischen Personen mit Firma und Sitz eingetragen werden. Im Verhältnis zur Gesellschaft gilt als Aktionär, Nutzniesser oder Nominee, wer im Aktienbuch eingetragen ist. Adressänderungen sind der Gesellschaft zu melden.</w:t>
            </w:r>
          </w:p>
        </w:tc>
        <w:tc>
          <w:tcPr>
            <w:tcW w:w="60" w:type="dxa"/>
            <w:tcBorders/>
            <w:vAlign w:val="center"/>
          </w:tcPr>
          <w:p>
            <w:pPr>
              <w:pStyle w:val="TableContents"/>
              <w:bidi w:val="0"/>
              <w:spacing w:before="0" w:after="283"/>
              <w:jc w:val="both"/>
              <w:rPr/>
            </w:pPr>
            <w:r>
              <w:rPr/>
              <w:t> </w:t>
            </w:r>
          </w:p>
        </w:tc>
        <w:tc>
          <w:tcPr>
            <w:tcW w:w="5026" w:type="dxa"/>
            <w:gridSpan w:val="3"/>
            <w:tcBorders/>
            <w:vAlign w:val="center"/>
          </w:tcPr>
          <w:p>
            <w:pPr>
              <w:pStyle w:val="TableContents"/>
              <w:bidi w:val="0"/>
              <w:spacing w:before="0" w:after="283"/>
              <w:jc w:val="both"/>
              <w:rPr>
                <w:sz w:val="20"/>
              </w:rPr>
            </w:pPr>
            <w:r>
              <w:rPr>
                <w:sz w:val="20"/>
              </w:rPr>
              <w:t>The Board of Directors maintains a share register, which lists the name and address respectively, in case of legal entities, the company name and the registered office, of the owners, usufructuaries or nominees of the shares. Only those registered in the shareholders’ register shall be recognized as shareholders, usufructuaries or nominees towards the Company. Address changes shall be notified to the Company.</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
        <w:gridCol w:w="309"/>
        <w:gridCol w:w="4791"/>
        <w:gridCol w:w="60"/>
        <w:gridCol w:w="301"/>
        <w:gridCol w:w="311"/>
        <w:gridCol w:w="4117"/>
      </w:tblGrid>
      <w:tr>
        <w:trPr/>
        <w:tc>
          <w:tcPr>
            <w:tcW w:w="541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Ist die Eintragung eines Erwerbers aufgrund falscher Angaben erfolgt, kann dieser nach Anhörung vom Verwaltungsrat aus dem Aktienbuch gestrichen werden.</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after having heard the concerned owner of the shares, cancel entries which were based on untrue information.</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541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regelt die Zuständigkeiten für die Führung des Aktienbuches sowie die Voraussetzungen der Anerkennung von Personen als Aktionär oder Nutzniesser oder Nominee mit oder ohne Stimmrecht sowie deren Eintragung im Aktienbuch.</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regulates the responsibilities of the maintenance of the share register as well as the requirements for the recognition of persons as shareholders or usufructuaries or nominees with or without voting rights and their entry in the share register.</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541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gibt in der Einladung zur Generalversammlung das für die Teilnahme und Stimmberechtigung massgebende Stichdatum der Eintragung im Aktienbuch bekannt.</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invitation to the Meeting of Shareholders, the Board of Directors announces the cut-off date for registration in the share register which is decisive for participation and voting rights.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283"/>
              <w:jc w:val="both"/>
              <w:rPr>
                <w:b/>
                <w:caps/>
                <w:sz w:val="20"/>
              </w:rPr>
            </w:pPr>
            <w:r>
              <w:rPr>
                <w:b/>
                <w:caps/>
                <w:sz w:val="20"/>
              </w:rPr>
              <w:t>III.</w:t>
            </w:r>
          </w:p>
        </w:tc>
        <w:tc>
          <w:tcPr>
            <w:tcW w:w="5100" w:type="dxa"/>
            <w:gridSpan w:val="2"/>
            <w:tcBorders/>
            <w:vAlign w:val="center"/>
          </w:tcPr>
          <w:p>
            <w:pPr>
              <w:pStyle w:val="TableContents"/>
              <w:bidi w:val="0"/>
              <w:spacing w:before="0" w:after="283"/>
              <w:jc w:val="both"/>
              <w:rPr>
                <w:b/>
                <w:caps/>
                <w:sz w:val="20"/>
              </w:rPr>
            </w:pPr>
            <w:r>
              <w:rPr>
                <w:b/>
                <w:caps/>
                <w:sz w:val="20"/>
              </w:rPr>
              <w:t>Organe der Gesellschaft</w:t>
            </w:r>
          </w:p>
        </w:tc>
        <w:tc>
          <w:tcPr>
            <w:tcW w:w="60" w:type="dxa"/>
            <w:tcBorders/>
            <w:vAlign w:val="center"/>
          </w:tcPr>
          <w:p>
            <w:pPr>
              <w:pStyle w:val="TableContents"/>
              <w:bidi w:val="0"/>
              <w:spacing w:before="0" w:after="283"/>
              <w:jc w:val="both"/>
              <w:rPr>
                <w:caps/>
              </w:rPr>
            </w:pPr>
            <w:r>
              <w:rPr>
                <w:caps/>
              </w:rPr>
              <w:t> </w:t>
            </w:r>
          </w:p>
        </w:tc>
        <w:tc>
          <w:tcPr>
            <w:tcW w:w="301" w:type="dxa"/>
            <w:tcBorders/>
            <w:vAlign w:val="center"/>
          </w:tcPr>
          <w:p>
            <w:pPr>
              <w:pStyle w:val="TableContents"/>
              <w:bidi w:val="0"/>
              <w:spacing w:before="0" w:after="283"/>
              <w:jc w:val="both"/>
              <w:rPr>
                <w:b/>
                <w:caps/>
                <w:sz w:val="20"/>
              </w:rPr>
            </w:pPr>
            <w:r>
              <w:rPr>
                <w:b/>
                <w:caps/>
                <w:sz w:val="20"/>
              </w:rPr>
              <w:t>III.</w:t>
            </w:r>
          </w:p>
        </w:tc>
        <w:tc>
          <w:tcPr>
            <w:tcW w:w="4428" w:type="dxa"/>
            <w:gridSpan w:val="2"/>
            <w:tcBorders/>
            <w:vAlign w:val="center"/>
          </w:tcPr>
          <w:p>
            <w:pPr>
              <w:pStyle w:val="TableContents"/>
              <w:bidi w:val="0"/>
              <w:spacing w:before="0" w:after="283"/>
              <w:jc w:val="both"/>
              <w:rPr>
                <w:b/>
                <w:caps/>
                <w:sz w:val="20"/>
              </w:rPr>
            </w:pPr>
            <w:r>
              <w:rPr>
                <w:b/>
                <w:caps/>
                <w:sz w:val="20"/>
              </w:rPr>
              <w:t>CORPORATE BODIES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5416" w:type="dxa"/>
            <w:gridSpan w:val="3"/>
            <w:tcBorders/>
            <w:vAlign w:val="center"/>
          </w:tcPr>
          <w:p>
            <w:pPr>
              <w:pStyle w:val="TableContents"/>
              <w:bidi w:val="0"/>
              <w:spacing w:before="0" w:after="283"/>
              <w:jc w:val="both"/>
              <w:rPr>
                <w:sz w:val="20"/>
              </w:rPr>
            </w:pPr>
            <w:r>
              <w:rPr>
                <w:sz w:val="20"/>
              </w:rPr>
              <w:t>Die Organe der Gesellschaft sind:</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sz w:val="20"/>
              </w:rPr>
            </w:pPr>
            <w:r>
              <w:rPr>
                <w:sz w:val="20"/>
              </w:rPr>
              <w:t>The corporate bodies of the Company are:</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0"/>
              <w:jc w:val="both"/>
              <w:rPr>
                <w:caps w:val="false"/>
                <w:smallCaps w:val="false"/>
              </w:rPr>
            </w:pPr>
            <w:r>
              <w:rPr>
                <w:caps w:val="false"/>
                <w:smallCaps w:val="false"/>
              </w:rPr>
              <w:t> </w:t>
            </w:r>
          </w:p>
        </w:tc>
        <w:tc>
          <w:tcPr>
            <w:tcW w:w="309"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9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0"/>
              <w:jc w:val="both"/>
              <w:rPr>
                <w:caps w:val="false"/>
                <w:smallCaps w:val="false"/>
              </w:rPr>
            </w:pPr>
            <w:r>
              <w:rPr>
                <w:caps w:val="false"/>
                <w:smallCaps w:val="false"/>
              </w:rPr>
              <w:t> </w:t>
            </w:r>
          </w:p>
        </w:tc>
        <w:tc>
          <w:tcPr>
            <w:tcW w:w="31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1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w:t>
            </w:r>
          </w:p>
        </w:tc>
      </w:tr>
      <w:tr>
        <w:trPr/>
        <w:tc>
          <w:tcPr>
            <w:tcW w:w="316"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both"/>
              <w:rPr/>
            </w:pPr>
            <w:r>
              <w:rPr/>
              <w:t> </w:t>
            </w:r>
          </w:p>
        </w:tc>
        <w:tc>
          <w:tcPr>
            <w:tcW w:w="47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pPr>
            <w:r>
              <w:rPr/>
              <w:t> </w:t>
            </w:r>
          </w:p>
        </w:tc>
        <w:tc>
          <w:tcPr>
            <w:tcW w:w="4117" w:type="dxa"/>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both"/>
              <w:rPr/>
            </w:pPr>
            <w:r>
              <w:rPr/>
              <w:t>B.</w:t>
            </w:r>
          </w:p>
        </w:tc>
        <w:tc>
          <w:tcPr>
            <w:tcW w:w="4791" w:type="dxa"/>
            <w:tcBorders/>
            <w:vAlign w:val="center"/>
          </w:tcPr>
          <w:p>
            <w:pPr>
              <w:pStyle w:val="TableContents"/>
              <w:bidi w:val="0"/>
              <w:spacing w:before="0" w:after="283"/>
              <w:jc w:val="both"/>
              <w:rPr/>
            </w:pPr>
            <w:r>
              <w:rPr/>
              <w:t>Der Verwaltungsrat</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pPr>
            <w:r>
              <w:rPr/>
              <w:t>B.</w:t>
            </w:r>
          </w:p>
        </w:tc>
        <w:tc>
          <w:tcPr>
            <w:tcW w:w="4117" w:type="dxa"/>
            <w:tcBorders/>
            <w:vAlign w:val="center"/>
          </w:tcPr>
          <w:p>
            <w:pPr>
              <w:pStyle w:val="TableContents"/>
              <w:bidi w:val="0"/>
              <w:spacing w:before="0" w:after="283"/>
              <w:jc w:val="both"/>
              <w:rPr/>
            </w:pPr>
            <w:r>
              <w:rPr/>
              <w:t>The Board of Directors</w:t>
            </w:r>
          </w:p>
        </w:tc>
      </w:tr>
      <w:tr>
        <w:trPr/>
        <w:tc>
          <w:tcPr>
            <w:tcW w:w="316"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both"/>
              <w:rPr/>
            </w:pPr>
            <w:r>
              <w:rPr/>
              <w:t> </w:t>
            </w:r>
          </w:p>
        </w:tc>
        <w:tc>
          <w:tcPr>
            <w:tcW w:w="479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pPr>
            <w:r>
              <w:rPr/>
              <w:t> </w:t>
            </w:r>
          </w:p>
        </w:tc>
        <w:tc>
          <w:tcPr>
            <w:tcW w:w="4117" w:type="dxa"/>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0"/>
              <w:jc w:val="both"/>
              <w:rPr>
                <w:caps w:val="false"/>
                <w:smallCaps w:val="false"/>
              </w:rPr>
            </w:pPr>
            <w:r>
              <w:rPr>
                <w:caps w:val="false"/>
                <w:smallCaps w:val="false"/>
              </w:rPr>
              <w:t> </w:t>
            </w:r>
          </w:p>
        </w:tc>
        <w:tc>
          <w:tcPr>
            <w:tcW w:w="309"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79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Revisionsstelle</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0"/>
              <w:jc w:val="both"/>
              <w:rPr>
                <w:caps w:val="false"/>
                <w:smallCaps w:val="false"/>
              </w:rPr>
            </w:pPr>
            <w:r>
              <w:rPr>
                <w:caps w:val="false"/>
                <w:smallCaps w:val="false"/>
              </w:rPr>
              <w:t> </w:t>
            </w:r>
          </w:p>
        </w:tc>
        <w:tc>
          <w:tcPr>
            <w:tcW w:w="31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11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283"/>
              <w:jc w:val="both"/>
              <w:rPr>
                <w:b/>
                <w:caps/>
                <w:sz w:val="20"/>
              </w:rPr>
            </w:pPr>
            <w:r>
              <w:rPr>
                <w:b/>
                <w:caps/>
                <w:sz w:val="20"/>
              </w:rPr>
              <w:t>A.</w:t>
            </w:r>
          </w:p>
        </w:tc>
        <w:tc>
          <w:tcPr>
            <w:tcW w:w="5100" w:type="dxa"/>
            <w:gridSpan w:val="2"/>
            <w:tcBorders/>
            <w:vAlign w:val="center"/>
          </w:tcPr>
          <w:p>
            <w:pPr>
              <w:pStyle w:val="TableContents"/>
              <w:bidi w:val="0"/>
              <w:spacing w:before="0" w:after="283"/>
              <w:jc w:val="both"/>
              <w:rPr>
                <w:b/>
                <w:caps/>
                <w:sz w:val="20"/>
              </w:rPr>
            </w:pPr>
            <w:r>
              <w:rPr>
                <w:b/>
                <w:caps/>
                <w:sz w:val="20"/>
              </w:rPr>
              <w:t>Generalversammlung</w:t>
            </w:r>
          </w:p>
        </w:tc>
        <w:tc>
          <w:tcPr>
            <w:tcW w:w="60" w:type="dxa"/>
            <w:tcBorders/>
            <w:vAlign w:val="center"/>
          </w:tcPr>
          <w:p>
            <w:pPr>
              <w:pStyle w:val="TableContents"/>
              <w:bidi w:val="0"/>
              <w:spacing w:before="0" w:after="283"/>
              <w:jc w:val="both"/>
              <w:rPr>
                <w:caps/>
              </w:rPr>
            </w:pPr>
            <w:r>
              <w:rPr>
                <w:caps/>
              </w:rPr>
              <w:t> </w:t>
            </w:r>
          </w:p>
        </w:tc>
        <w:tc>
          <w:tcPr>
            <w:tcW w:w="301"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428" w:type="dxa"/>
            <w:gridSpan w:val="2"/>
            <w:tcBorders/>
            <w:vAlign w:val="center"/>
          </w:tcPr>
          <w:p>
            <w:pPr>
              <w:pStyle w:val="TableContents"/>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The meeting of shareholders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5416" w:type="dxa"/>
            <w:gridSpan w:val="3"/>
            <w:tcBorders/>
            <w:vAlign w:val="center"/>
          </w:tcPr>
          <w:p>
            <w:pPr>
              <w:pStyle w:val="TableContents"/>
              <w:bidi w:val="0"/>
              <w:spacing w:before="0" w:after="283"/>
              <w:jc w:val="both"/>
              <w:rPr>
                <w:b/>
                <w:sz w:val="20"/>
              </w:rPr>
            </w:pPr>
            <w:r>
              <w:rPr>
                <w:b/>
                <w:sz w:val="20"/>
              </w:rPr>
              <w:t>Artikel 7 – Befugnisse</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b/>
                <w:sz w:val="20"/>
              </w:rPr>
            </w:pPr>
            <w:r>
              <w:rPr>
                <w:b/>
                <w:sz w:val="20"/>
              </w:rPr>
              <w:t>Article 7 – Powers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5416"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Oberstes Organ der Gesellschaft ist die Generalversammlung der Aktionäre. Sie hat folgende unübertragbaren Befugnisse:</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 is the supreme body of the Company. It has the following non-transferrable powers: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0"/>
              <w:jc w:val="both"/>
              <w:rPr>
                <w:caps w:val="false"/>
                <w:smallCaps w:val="false"/>
              </w:rPr>
            </w:pPr>
            <w:r>
              <w:rPr>
                <w:caps w:val="false"/>
                <w:smallCaps w:val="false"/>
              </w:rPr>
              <w:t> </w:t>
            </w:r>
          </w:p>
        </w:tc>
        <w:tc>
          <w:tcPr>
            <w:tcW w:w="309"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9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Festsetzung und Änderung der Statuten;</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sz w:val="20"/>
              </w:rPr>
            </w:pPr>
            <w:r>
              <w:rPr>
                <w:sz w:val="20"/>
              </w:rPr>
              <w:t>1.</w:t>
            </w:r>
          </w:p>
        </w:tc>
        <w:tc>
          <w:tcPr>
            <w:tcW w:w="4117" w:type="dxa"/>
            <w:tcBorders/>
            <w:vAlign w:val="center"/>
          </w:tcPr>
          <w:p>
            <w:pPr>
              <w:pStyle w:val="TableContents"/>
              <w:bidi w:val="0"/>
              <w:spacing w:before="0" w:after="283"/>
              <w:jc w:val="both"/>
              <w:rPr>
                <w:sz w:val="20"/>
              </w:rPr>
            </w:pPr>
            <w:r>
              <w:rPr>
                <w:sz w:val="20"/>
              </w:rPr>
              <w:t>to adopt and amend the Articles of Association;</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0"/>
              <w:jc w:val="both"/>
              <w:rPr>
                <w:caps w:val="false"/>
                <w:smallCaps w:val="false"/>
              </w:rPr>
            </w:pPr>
            <w:r>
              <w:rPr>
                <w:caps w:val="false"/>
                <w:smallCaps w:val="false"/>
              </w:rPr>
              <w:t> </w:t>
            </w:r>
          </w:p>
        </w:tc>
        <w:tc>
          <w:tcPr>
            <w:tcW w:w="309"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79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Wahl der Mitglieder des Verwaltungsrates, der Revisionsstelle, des Präsidenten des Verwaltungsrats, der Mitglieder des Vergütungsausschusses und des unabhängigen Stimmrechtsvertreters;</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sz w:val="20"/>
              </w:rPr>
            </w:pPr>
            <w:r>
              <w:rPr>
                <w:sz w:val="20"/>
              </w:rPr>
              <w:t>2.</w:t>
            </w:r>
          </w:p>
        </w:tc>
        <w:tc>
          <w:tcPr>
            <w:tcW w:w="4117" w:type="dxa"/>
            <w:tcBorders/>
            <w:vAlign w:val="center"/>
          </w:tcPr>
          <w:p>
            <w:pPr>
              <w:pStyle w:val="TableContents"/>
              <w:bidi w:val="0"/>
              <w:spacing w:before="0" w:after="283"/>
              <w:jc w:val="both"/>
              <w:rPr>
                <w:sz w:val="20"/>
              </w:rPr>
            </w:pPr>
            <w:r>
              <w:rPr>
                <w:sz w:val="20"/>
              </w:rPr>
              <w:t>to elect the members of the Board of Directors, the Auditors, the chairman of the Board of Directors, the members of the compensation committee and the independent proxy;</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0"/>
              <w:jc w:val="both"/>
              <w:rPr>
                <w:caps w:val="false"/>
                <w:smallCaps w:val="false"/>
              </w:rPr>
            </w:pPr>
            <w:r>
              <w:rPr>
                <w:caps w:val="false"/>
                <w:smallCaps w:val="false"/>
              </w:rPr>
              <w:t> </w:t>
            </w:r>
          </w:p>
        </w:tc>
        <w:tc>
          <w:tcPr>
            <w:tcW w:w="309"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79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Genehmigung des Lageberichtes und der Konzernrechnung;</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sz w:val="20"/>
              </w:rPr>
            </w:pPr>
            <w:r>
              <w:rPr>
                <w:sz w:val="20"/>
              </w:rPr>
              <w:t>3.</w:t>
            </w:r>
          </w:p>
        </w:tc>
        <w:tc>
          <w:tcPr>
            <w:tcW w:w="4117" w:type="dxa"/>
            <w:tcBorders/>
            <w:vAlign w:val="center"/>
          </w:tcPr>
          <w:p>
            <w:pPr>
              <w:pStyle w:val="TableContents"/>
              <w:bidi w:val="0"/>
              <w:spacing w:before="0" w:after="283"/>
              <w:jc w:val="both"/>
              <w:rPr>
                <w:sz w:val="20"/>
              </w:rPr>
            </w:pPr>
            <w:r>
              <w:rPr>
                <w:sz w:val="20"/>
              </w:rPr>
              <w:t>to approve the management report and the consolidated financial statements;</w:t>
            </w:r>
          </w:p>
        </w:tc>
      </w:tr>
      <w:tr>
        <w:trPr/>
        <w:tc>
          <w:tcPr>
            <w:tcW w:w="541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29" w:type="dxa"/>
            <w:gridSpan w:val="3"/>
            <w:tcBorders/>
            <w:vAlign w:val="center"/>
          </w:tcPr>
          <w:p>
            <w:pPr>
              <w:pStyle w:val="TableContents"/>
              <w:bidi w:val="0"/>
              <w:spacing w:before="0" w:after="283"/>
              <w:jc w:val="both"/>
              <w:rPr/>
            </w:pPr>
            <w:r>
              <w:rPr/>
              <w:t> </w:t>
            </w:r>
          </w:p>
        </w:tc>
      </w:tr>
      <w:tr>
        <w:trPr/>
        <w:tc>
          <w:tcPr>
            <w:tcW w:w="316"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both"/>
              <w:rPr>
                <w:sz w:val="20"/>
              </w:rPr>
            </w:pPr>
            <w:r>
              <w:rPr>
                <w:sz w:val="20"/>
              </w:rPr>
              <w:t>4.</w:t>
            </w:r>
          </w:p>
        </w:tc>
        <w:tc>
          <w:tcPr>
            <w:tcW w:w="4791" w:type="dxa"/>
            <w:tcBorders/>
            <w:vAlign w:val="center"/>
          </w:tcPr>
          <w:p>
            <w:pPr>
              <w:pStyle w:val="TableContents"/>
              <w:bidi w:val="0"/>
              <w:spacing w:before="0" w:after="283"/>
              <w:jc w:val="both"/>
              <w:rPr>
                <w:sz w:val="20"/>
              </w:rPr>
            </w:pPr>
            <w:r>
              <w:rPr>
                <w:sz w:val="20"/>
              </w:rPr>
              <w:t>die Genehmigung der Jahresrechnung sowie die Beschlussfassung über die Verwendung des Bilanzgewinnes, insbesondere die Festsetzung der Dividende und der Tantieme;</w:t>
            </w:r>
          </w:p>
        </w:tc>
        <w:tc>
          <w:tcPr>
            <w:tcW w:w="60" w:type="dxa"/>
            <w:tcBorders/>
            <w:vAlign w:val="center"/>
          </w:tcPr>
          <w:p>
            <w:pPr>
              <w:pStyle w:val="TableContents"/>
              <w:bidi w:val="0"/>
              <w:spacing w:before="0" w:after="283"/>
              <w:jc w:val="both"/>
              <w:rPr/>
            </w:pPr>
            <w:r>
              <w:rPr/>
              <w:t> </w:t>
            </w:r>
          </w:p>
        </w:tc>
        <w:tc>
          <w:tcPr>
            <w:tcW w:w="301" w:type="dxa"/>
            <w:tcBorders/>
            <w:vAlign w:val="center"/>
          </w:tcPr>
          <w:p>
            <w:pPr>
              <w:pStyle w:val="TableContents"/>
              <w:bidi w:val="0"/>
              <w:spacing w:before="0" w:after="0"/>
              <w:jc w:val="both"/>
              <w:rPr>
                <w:caps w:val="false"/>
                <w:smallCaps w:val="false"/>
              </w:rPr>
            </w:pPr>
            <w:r>
              <w:rPr>
                <w:caps w:val="false"/>
                <w:smallCaps w:val="false"/>
              </w:rPr>
              <w:t> </w:t>
            </w:r>
          </w:p>
        </w:tc>
        <w:tc>
          <w:tcPr>
            <w:tcW w:w="31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11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annual accounts and to determine the allocation of the balance sheet profits, in particular the determination of dividends and shares of profit paid to members of the Board of Directors;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306"/>
        <w:gridCol w:w="5028"/>
        <w:gridCol w:w="60"/>
        <w:gridCol w:w="65"/>
        <w:gridCol w:w="260"/>
        <w:gridCol w:w="4309"/>
      </w:tblGrid>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Beschlussfassung über die Ausrichtung und Festsetzung einer Zwischendividende sowie die Genehmigung des dafür erforderlichen Zwischenabschlusses;</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5.</w:t>
            </w:r>
          </w:p>
        </w:tc>
        <w:tc>
          <w:tcPr>
            <w:tcW w:w="4309" w:type="dxa"/>
            <w:tcBorders/>
            <w:vAlign w:val="center"/>
          </w:tcPr>
          <w:p>
            <w:pPr>
              <w:pStyle w:val="TableContents"/>
              <w:bidi w:val="0"/>
              <w:spacing w:before="0" w:after="283"/>
              <w:jc w:val="both"/>
              <w:rPr>
                <w:sz w:val="20"/>
              </w:rPr>
            </w:pPr>
            <w:r>
              <w:rPr>
                <w:sz w:val="20"/>
              </w:rPr>
              <w:t>to pass resolutions concerning the distribution and determination of an interim dividend and the approval of the interim financial statements required for this purpose;</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Beschlussfassung über die Rückzahlung der gesetzlichen Kapitalreserve;</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6.</w:t>
            </w:r>
          </w:p>
        </w:tc>
        <w:tc>
          <w:tcPr>
            <w:tcW w:w="4309" w:type="dxa"/>
            <w:tcBorders/>
            <w:vAlign w:val="center"/>
          </w:tcPr>
          <w:p>
            <w:pPr>
              <w:pStyle w:val="TableContents"/>
              <w:bidi w:val="0"/>
              <w:spacing w:before="0" w:after="283"/>
              <w:jc w:val="both"/>
              <w:rPr>
                <w:sz w:val="20"/>
              </w:rPr>
            </w:pPr>
            <w:r>
              <w:rPr>
                <w:sz w:val="20"/>
              </w:rPr>
              <w:t>to pass resolutions concerning the repayment of the statutory capital reserve;</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Entlastung der Mitglieder des Verwaltungsrates und mit der Geschäftsführung betrauten Personen;</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7.</w:t>
            </w:r>
          </w:p>
        </w:tc>
        <w:tc>
          <w:tcPr>
            <w:tcW w:w="4309" w:type="dxa"/>
            <w:tcBorders/>
            <w:vAlign w:val="center"/>
          </w:tcPr>
          <w:p>
            <w:pPr>
              <w:pStyle w:val="TableContents"/>
              <w:bidi w:val="0"/>
              <w:spacing w:before="0" w:after="283"/>
              <w:jc w:val="both"/>
              <w:rPr>
                <w:sz w:val="20"/>
              </w:rPr>
            </w:pPr>
            <w:r>
              <w:rPr>
                <w:sz w:val="20"/>
              </w:rPr>
              <w:t>to discharge the members of the Board of Directors and the Executive Board;</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Dekotierung der Beteiligungspapiere der Gesellschaft;</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8.</w:t>
            </w:r>
          </w:p>
        </w:tc>
        <w:tc>
          <w:tcPr>
            <w:tcW w:w="4309" w:type="dxa"/>
            <w:tcBorders/>
            <w:vAlign w:val="center"/>
          </w:tcPr>
          <w:p>
            <w:pPr>
              <w:pStyle w:val="TableContents"/>
              <w:bidi w:val="0"/>
              <w:spacing w:before="0" w:after="283"/>
              <w:jc w:val="both"/>
              <w:rPr>
                <w:sz w:val="20"/>
              </w:rPr>
            </w:pPr>
            <w:r>
              <w:rPr>
                <w:sz w:val="20"/>
              </w:rPr>
              <w:t>to delist the equity securities of the Company;</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Genehmigung der Vergütung des Verwaltungsrates und der Geschäftsleitung und des Beirats; und</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9.</w:t>
            </w:r>
          </w:p>
        </w:tc>
        <w:tc>
          <w:tcPr>
            <w:tcW w:w="4309" w:type="dxa"/>
            <w:tcBorders/>
            <w:vAlign w:val="center"/>
          </w:tcPr>
          <w:p>
            <w:pPr>
              <w:pStyle w:val="TableContents"/>
              <w:bidi w:val="0"/>
              <w:spacing w:before="0" w:after="283"/>
              <w:jc w:val="both"/>
              <w:rPr>
                <w:sz w:val="20"/>
              </w:rPr>
            </w:pPr>
            <w:r>
              <w:rPr>
                <w:sz w:val="20"/>
              </w:rPr>
              <w:t>to approve the compensation of the Board of Directors, the Executive Board and board of advisors; and</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177" w:type="dxa"/>
            <w:tcBorders/>
            <w:vAlign w:val="center"/>
          </w:tcPr>
          <w:p>
            <w:pPr>
              <w:pStyle w:val="TableContents"/>
              <w:bidi w:val="0"/>
              <w:spacing w:before="0" w:after="0"/>
              <w:jc w:val="both"/>
              <w:rPr>
                <w:caps w:val="false"/>
                <w:smallCaps w:val="false"/>
              </w:rPr>
            </w:pPr>
            <w:r>
              <w:rPr>
                <w:caps w:val="false"/>
                <w:smallCaps w:val="false"/>
              </w:rPr>
              <w:t> </w:t>
            </w:r>
          </w:p>
        </w:tc>
        <w:tc>
          <w:tcPr>
            <w:tcW w:w="306"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02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Beschlussfassung über die Gegenstände, die der Generalversammlung durch das Gesetz oder die Statuten vorbehalten sind oder ihr durch den Verwaltungsrat oder die Revisionsstelle vorgelegt werden.</w:t>
            </w:r>
          </w:p>
        </w:tc>
        <w:tc>
          <w:tcPr>
            <w:tcW w:w="60"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sz w:val="20"/>
              </w:rPr>
            </w:pPr>
            <w:r>
              <w:rPr>
                <w:sz w:val="20"/>
              </w:rPr>
              <w:t>10.</w:t>
            </w:r>
          </w:p>
        </w:tc>
        <w:tc>
          <w:tcPr>
            <w:tcW w:w="4309" w:type="dxa"/>
            <w:tcBorders/>
            <w:vAlign w:val="center"/>
          </w:tcPr>
          <w:p>
            <w:pPr>
              <w:pStyle w:val="TableContents"/>
              <w:bidi w:val="0"/>
              <w:spacing w:before="0" w:after="283"/>
              <w:jc w:val="both"/>
              <w:rPr>
                <w:sz w:val="20"/>
              </w:rPr>
            </w:pPr>
            <w:r>
              <w:rPr>
                <w:sz w:val="20"/>
              </w:rPr>
              <w:t>to pass resolutions concerning all matters which are reserved to the authority of the Meeting of Shareholders by law or by the Articles of Association or which are presented to it by the Board of Directors or the Auditors.</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5511"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8 – Einberufung und Traktandierung</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b/>
                <w:sz w:val="20"/>
              </w:rPr>
            </w:pPr>
            <w:r>
              <w:rPr>
                <w:b/>
                <w:sz w:val="20"/>
              </w:rPr>
              <w:t>Article 8 – Convocation and Agenda Items</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5511"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ordentliche Generalversammlung ist jährlich innerhalb von sechs Monaten nach Abschluss des Geschäftsjahres abzuhalten. Ausserordentliche Generalversammlungen werden so häufig wie nötig einberufen, insbesondere in den vom Gesetz vorgesehenen Fällen.</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Shareholders shall be held within six months after closing of the business year. Extraordinary Meetings of Shareholders shall be called as often as necessary, in particular if provided for by law.</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5511"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ist spätestens 20 Tage vor dem Versammlungstag durch schriftliche Mitteilung per Brief oder E-Mail an die im Aktienbuch eingetragene Adresse jedes einzelnen Aktionärs und allfälliger Nutzniesser oder durch Publikation im Schweizerischen Handelsblatt (SHAB) einzuberufen. Die Einberufung erfolgt durch den Verwaltungsrat, nötigenfalls durch die Revisionsstelle. Das Einberufungsrecht steht auch den Liquidatoren und den Vertretern der Anleihensgläubiger zu.</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 shall be called no later than 20 days prior to the date of the meeting in writing by letter or e-mail to the address of each individual shareholder and usufructuary recorded in the share register or by way of announcement in the Swiss Commercial Gazette (SHAB). The meeting shall be called by the Board of Directors or, if required, by the Auditors. The liquidators and the representatives of the bondholders also have the convening right.</w:t>
            </w:r>
          </w:p>
        </w:tc>
      </w:tr>
      <w:tr>
        <w:trPr/>
        <w:tc>
          <w:tcPr>
            <w:tcW w:w="551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pPr>
            <w:r>
              <w:rPr/>
              <w:t> </w:t>
            </w:r>
          </w:p>
        </w:tc>
      </w:tr>
      <w:tr>
        <w:trPr/>
        <w:tc>
          <w:tcPr>
            <w:tcW w:w="5511"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Einberufung einer Generalversammlung kann auch von einem oder mehreren Aktionären, die zusammen mindestens 5 Prozent des Aktienkapitals oder der Stimmen vertreten, verlangt werden. Sie müssen die Einberufung schriftlich verlangen. Die Verhandlungsgegenstände und Anträge müssen im Begehren enthalten sein.</w:t>
            </w:r>
          </w:p>
        </w:tc>
        <w:tc>
          <w:tcPr>
            <w:tcW w:w="60" w:type="dxa"/>
            <w:tcBorders/>
            <w:vAlign w:val="center"/>
          </w:tcPr>
          <w:p>
            <w:pPr>
              <w:pStyle w:val="TableContents"/>
              <w:bidi w:val="0"/>
              <w:spacing w:before="0" w:after="283"/>
              <w:jc w:val="both"/>
              <w:rPr/>
            </w:pPr>
            <w:r>
              <w:rPr/>
              <w:t> </w:t>
            </w:r>
          </w:p>
        </w:tc>
        <w:tc>
          <w:tcPr>
            <w:tcW w:w="4634" w:type="dxa"/>
            <w:gridSpan w:val="3"/>
            <w:tcBorders/>
            <w:vAlign w:val="center"/>
          </w:tcPr>
          <w:p>
            <w:pPr>
              <w:pStyle w:val="TableContents"/>
              <w:bidi w:val="0"/>
              <w:spacing w:before="0" w:after="283"/>
              <w:jc w:val="both"/>
              <w:rPr>
                <w:sz w:val="20"/>
              </w:rPr>
            </w:pPr>
            <w:r>
              <w:rPr>
                <w:sz w:val="20"/>
              </w:rPr>
              <w:t>A Meeting of Shareholders may also be convened by one or more shareholders who together represent at least 5 percent of the share capital or votes. They must request the convocation in writing. The items on the agenda and the proposals must be included in the request.</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0"/>
        <w:gridCol w:w="187"/>
        <w:gridCol w:w="5518"/>
        <w:gridCol w:w="60"/>
        <w:gridCol w:w="131"/>
        <w:gridCol w:w="247"/>
        <w:gridCol w:w="3962"/>
      </w:tblGrid>
      <w:tr>
        <w:trPr/>
        <w:tc>
          <w:tcPr>
            <w:tcW w:w="5805" w:type="dxa"/>
            <w:gridSpan w:val="3"/>
            <w:tcBorders/>
            <w:vAlign w:val="center"/>
          </w:tcPr>
          <w:p>
            <w:pPr>
              <w:pStyle w:val="TableContents"/>
              <w:bidi w:val="0"/>
              <w:spacing w:before="0" w:after="283"/>
              <w:jc w:val="both"/>
              <w:rPr>
                <w:sz w:val="20"/>
              </w:rPr>
            </w:pPr>
            <w:r>
              <w:rPr>
                <w:sz w:val="20"/>
              </w:rPr>
              <w:t>Aktionäre, die zusammen mindestens 0.5 Prozent des Aktienkapitals oder der Stimmen vertreten, können die Traktandierung eines Verhandlungsgegenstands verlangen. Das schriftliche Traktandierungsgesuch hat mindestens 40 Tage vor der Generalversammlung bei der Gesellschaft einzutreffen.</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sz w:val="20"/>
              </w:rPr>
            </w:pPr>
            <w:r>
              <w:rPr>
                <w:sz w:val="20"/>
              </w:rPr>
              <w:t>Shareholders collectively representing at least 0.5 percent of the share capital or votes may request that an item be included on the agenda. The written request for an item to be placed on the agenda must be received by the Company at least 40 days before the Meeting of Shareholders.</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580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der Einberufung sind bekanntzugeben:</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sz w:val="20"/>
              </w:rPr>
            </w:pPr>
            <w:r>
              <w:rPr>
                <w:sz w:val="20"/>
              </w:rPr>
              <w:t>The notice convening the meeting shall state:</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283"/>
              <w:jc w:val="both"/>
              <w:rPr/>
            </w:pPr>
            <w:r>
              <w:rPr/>
              <w:t> </w:t>
            </w:r>
          </w:p>
        </w:tc>
        <w:tc>
          <w:tcPr>
            <w:tcW w:w="187" w:type="dxa"/>
            <w:tcBorders/>
            <w:vAlign w:val="center"/>
          </w:tcPr>
          <w:p>
            <w:pPr>
              <w:pStyle w:val="TableContents"/>
              <w:bidi w:val="0"/>
              <w:spacing w:before="0" w:after="283"/>
              <w:jc w:val="both"/>
              <w:rPr>
                <w:sz w:val="20"/>
              </w:rPr>
            </w:pPr>
            <w:r>
              <w:rPr>
                <w:sz w:val="20"/>
              </w:rPr>
              <w:t>1.</w:t>
            </w:r>
          </w:p>
        </w:tc>
        <w:tc>
          <w:tcPr>
            <w:tcW w:w="5518" w:type="dxa"/>
            <w:tcBorders/>
            <w:vAlign w:val="center"/>
          </w:tcPr>
          <w:p>
            <w:pPr>
              <w:pStyle w:val="TableContents"/>
              <w:bidi w:val="0"/>
              <w:spacing w:before="0" w:after="283"/>
              <w:jc w:val="both"/>
              <w:rPr>
                <w:sz w:val="20"/>
              </w:rPr>
            </w:pPr>
            <w:r>
              <w:rPr>
                <w:sz w:val="20"/>
              </w:rPr>
              <w:t>das Datum, der Beginn, die Art und der Ort der Generalversammlung;</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jc w:val="both"/>
              <w:rPr>
                <w:caps w:val="false"/>
                <w:smallCaps w:val="false"/>
              </w:rPr>
            </w:pPr>
            <w:r>
              <w:rPr>
                <w:caps w:val="false"/>
                <w:smallCaps w:val="false"/>
              </w:rPr>
              <w:t> </w:t>
            </w:r>
          </w:p>
        </w:tc>
        <w:tc>
          <w:tcPr>
            <w:tcW w:w="2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96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the beginning, the type and the place of the Meeting of Shareholders;</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283"/>
              <w:jc w:val="both"/>
              <w:rPr/>
            </w:pPr>
            <w:r>
              <w:rPr/>
              <w:t> </w:t>
            </w:r>
          </w:p>
        </w:tc>
        <w:tc>
          <w:tcPr>
            <w:tcW w:w="187" w:type="dxa"/>
            <w:tcBorders/>
            <w:vAlign w:val="center"/>
          </w:tcPr>
          <w:p>
            <w:pPr>
              <w:pStyle w:val="TableContents"/>
              <w:bidi w:val="0"/>
              <w:spacing w:before="0" w:after="283"/>
              <w:jc w:val="both"/>
              <w:rPr>
                <w:sz w:val="20"/>
              </w:rPr>
            </w:pPr>
            <w:r>
              <w:rPr>
                <w:sz w:val="20"/>
              </w:rPr>
              <w:t>2.</w:t>
            </w:r>
          </w:p>
        </w:tc>
        <w:tc>
          <w:tcPr>
            <w:tcW w:w="5518" w:type="dxa"/>
            <w:tcBorders/>
            <w:vAlign w:val="center"/>
          </w:tcPr>
          <w:p>
            <w:pPr>
              <w:pStyle w:val="TableContents"/>
              <w:bidi w:val="0"/>
              <w:spacing w:before="0" w:after="283"/>
              <w:jc w:val="both"/>
              <w:rPr>
                <w:sz w:val="20"/>
              </w:rPr>
            </w:pPr>
            <w:r>
              <w:rPr>
                <w:sz w:val="20"/>
              </w:rPr>
              <w:t>die Verhandlungsgegenstände;</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jc w:val="both"/>
              <w:rPr>
                <w:caps w:val="false"/>
                <w:smallCaps w:val="false"/>
              </w:rPr>
            </w:pPr>
            <w:r>
              <w:rPr>
                <w:caps w:val="false"/>
                <w:smallCaps w:val="false"/>
              </w:rPr>
              <w:t> </w:t>
            </w:r>
          </w:p>
        </w:tc>
        <w:tc>
          <w:tcPr>
            <w:tcW w:w="2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96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items on the agenda;</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283"/>
              <w:jc w:val="both"/>
              <w:rPr/>
            </w:pPr>
            <w:r>
              <w:rPr/>
              <w:t> </w:t>
            </w:r>
          </w:p>
        </w:tc>
        <w:tc>
          <w:tcPr>
            <w:tcW w:w="187" w:type="dxa"/>
            <w:tcBorders/>
            <w:vAlign w:val="center"/>
          </w:tcPr>
          <w:p>
            <w:pPr>
              <w:pStyle w:val="TableContents"/>
              <w:bidi w:val="0"/>
              <w:spacing w:before="0" w:after="283"/>
              <w:jc w:val="both"/>
              <w:rPr>
                <w:sz w:val="20"/>
              </w:rPr>
            </w:pPr>
            <w:r>
              <w:rPr>
                <w:sz w:val="20"/>
              </w:rPr>
              <w:t>3.</w:t>
            </w:r>
          </w:p>
        </w:tc>
        <w:tc>
          <w:tcPr>
            <w:tcW w:w="5518" w:type="dxa"/>
            <w:tcBorders/>
            <w:vAlign w:val="center"/>
          </w:tcPr>
          <w:p>
            <w:pPr>
              <w:pStyle w:val="TableContents"/>
              <w:bidi w:val="0"/>
              <w:spacing w:before="0" w:after="283"/>
              <w:jc w:val="both"/>
              <w:rPr>
                <w:sz w:val="20"/>
              </w:rPr>
            </w:pPr>
            <w:r>
              <w:rPr>
                <w:sz w:val="20"/>
              </w:rPr>
              <w:t>die Anträge des Verwaltungsrats gegebenenfalls die Anträge der Aktionäre samt kurzer Begründung;</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jc w:val="both"/>
              <w:rPr>
                <w:caps w:val="false"/>
                <w:smallCaps w:val="false"/>
              </w:rPr>
            </w:pPr>
            <w:r>
              <w:rPr>
                <w:caps w:val="false"/>
                <w:smallCaps w:val="false"/>
              </w:rPr>
              <w:t> </w:t>
            </w:r>
          </w:p>
        </w:tc>
        <w:tc>
          <w:tcPr>
            <w:tcW w:w="24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96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motions of the Board of Directors, if any, the motions of the shareholders, together with a brief statement of the reasons therefor;</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100" w:type="dxa"/>
            <w:tcBorders/>
            <w:vAlign w:val="center"/>
          </w:tcPr>
          <w:p>
            <w:pPr>
              <w:pStyle w:val="TableContents"/>
              <w:bidi w:val="0"/>
              <w:spacing w:before="0" w:after="0"/>
              <w:jc w:val="both"/>
              <w:rPr>
                <w:caps w:val="false"/>
                <w:smallCaps w:val="false"/>
              </w:rPr>
            </w:pPr>
            <w:r>
              <w:rPr>
                <w:caps w:val="false"/>
                <w:smallCaps w:val="false"/>
              </w:rPr>
              <w:t> </w:t>
            </w:r>
          </w:p>
        </w:tc>
        <w:tc>
          <w:tcPr>
            <w:tcW w:w="18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51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gegebenenfalls der Name und die Adresse des unabhängigen Stimmrechtsvertreters.</w:t>
            </w:r>
          </w:p>
        </w:tc>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283"/>
              <w:jc w:val="both"/>
              <w:rPr/>
            </w:pPr>
            <w:r>
              <w:rPr/>
              <w:t> </w:t>
            </w:r>
          </w:p>
        </w:tc>
        <w:tc>
          <w:tcPr>
            <w:tcW w:w="247" w:type="dxa"/>
            <w:tcBorders/>
            <w:vAlign w:val="center"/>
          </w:tcPr>
          <w:p>
            <w:pPr>
              <w:pStyle w:val="TableContents"/>
              <w:bidi w:val="0"/>
              <w:spacing w:before="0" w:after="283"/>
              <w:jc w:val="both"/>
              <w:rPr>
                <w:sz w:val="20"/>
              </w:rPr>
            </w:pPr>
            <w:r>
              <w:rPr>
                <w:sz w:val="20"/>
              </w:rPr>
              <w:t>4.</w:t>
            </w:r>
          </w:p>
        </w:tc>
        <w:tc>
          <w:tcPr>
            <w:tcW w:w="3962" w:type="dxa"/>
            <w:tcBorders/>
            <w:vAlign w:val="center"/>
          </w:tcPr>
          <w:p>
            <w:pPr>
              <w:pStyle w:val="TableContents"/>
              <w:bidi w:val="0"/>
              <w:spacing w:before="0" w:after="283"/>
              <w:jc w:val="both"/>
              <w:rPr>
                <w:sz w:val="20"/>
              </w:rPr>
            </w:pPr>
            <w:r>
              <w:rPr>
                <w:sz w:val="20"/>
              </w:rPr>
              <w:t>if applicable, the name and address of the independent proxy.</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580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stellt sicher, dass die Verhandlungsgegenstände die Einheit der Materie wahren, und legt der Generalversammlung alle Informationen vor, die für ihre Beschlussfassung von Bedeutung sind. Er darf die Verhandlungsgegenstände in der Einberufung summarisch darstellen, sofern er den Aktionären weiterführende Informationen elektronisch zugänglich macht.</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sz w:val="20"/>
              </w:rPr>
            </w:pPr>
            <w:r>
              <w:rPr>
                <w:sz w:val="20"/>
              </w:rPr>
              <w:t>The Board of Directors shall ensure that the items on the agenda preserve the cohesion of subject matter and shall present to the Meeting of Shareholders all information that is of significance for its decision-making. It may summarize the items on the agenda in the notice of the meeting, provided that it makes further information available to the shareholders electronically.</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580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Über Gegenstände, die nicht in dieser Weise angekündigt worden sind, können unter Vorbehalt der Bestimmungen über die Universalversammlung keine Beschlüsse gefasst werden; ausgenommen sind Anträge auf Einberufung einer ausserordentlichen Generalversammlung, auf Durchführung einer Sonderuntersuchung und auf Wahl einer Revisionsstelle. Dagegen bedarf es zur Stellung von Anträgen im Rahmen der Verhandlungsgegenstände und zu Verhandlungen ohne Beschlussfassung keiner vorherigen Ankündigung.</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governing the plenary meeting, no resolutions may be passed on items not announced in the manner outlined above, save for motions to convene an extraordinary Meeting of Shareholders, to conduct a special investigation and to elect an auditor. No advance notice is required to propose motions with respect to agenda items duly notified in advance and to debate agenda items without passing any resolution.</w:t>
            </w:r>
          </w:p>
        </w:tc>
      </w:tr>
      <w:tr>
        <w:trPr/>
        <w:tc>
          <w:tcPr>
            <w:tcW w:w="580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283"/>
              <w:jc w:val="both"/>
              <w:rPr/>
            </w:pPr>
            <w:r>
              <w:rPr/>
              <w:t> </w:t>
            </w:r>
          </w:p>
        </w:tc>
      </w:tr>
      <w:tr>
        <w:trPr/>
        <w:tc>
          <w:tcPr>
            <w:tcW w:w="580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Spätestens 20 Tage vor der ordentlichen Generalversammlung sind den Aktionären der Geschäftsbericht und gegebenenfalls der Revisionsbericht zugänglich zu machen.</w:t>
            </w:r>
          </w:p>
        </w:tc>
        <w:tc>
          <w:tcPr>
            <w:tcW w:w="60" w:type="dxa"/>
            <w:tcBorders/>
            <w:vAlign w:val="center"/>
          </w:tcPr>
          <w:p>
            <w:pPr>
              <w:pStyle w:val="TableContents"/>
              <w:bidi w:val="0"/>
              <w:spacing w:before="0" w:after="283"/>
              <w:jc w:val="both"/>
              <w:rPr/>
            </w:pPr>
            <w:r>
              <w:rPr/>
              <w:t> </w:t>
            </w:r>
          </w:p>
        </w:tc>
        <w:tc>
          <w:tcPr>
            <w:tcW w:w="434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and, if applicable, the audit report shall be made available to the shareholders no later than 20 days before the Meeting of Shareholders.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1"/>
        <w:gridCol w:w="1500"/>
        <w:gridCol w:w="1504"/>
        <w:gridCol w:w="60"/>
        <w:gridCol w:w="1571"/>
        <w:gridCol w:w="1291"/>
        <w:gridCol w:w="1628"/>
      </w:tblGrid>
      <w:tr>
        <w:trPr/>
        <w:tc>
          <w:tcPr>
            <w:tcW w:w="5655" w:type="dxa"/>
            <w:gridSpan w:val="3"/>
            <w:tcBorders/>
            <w:vAlign w:val="center"/>
          </w:tcPr>
          <w:p>
            <w:pPr>
              <w:pStyle w:val="TableContents"/>
              <w:bidi w:val="0"/>
              <w:spacing w:before="0" w:after="283"/>
              <w:jc w:val="both"/>
              <w:rPr>
                <w:sz w:val="20"/>
              </w:rPr>
            </w:pPr>
            <w:r>
              <w:rPr>
                <w:sz w:val="20"/>
              </w:rPr>
              <w:t>Der Verwaltungsrat teilt ihnen mit, wie sie Zugang zu diesen Dokumenten erlangen können.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The Board of Directors shall inform them on how to obtain access to these documents.</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283"/>
              <w:jc w:val="both"/>
              <w:rPr>
                <w:sz w:val="20"/>
              </w:rPr>
            </w:pPr>
            <w:r>
              <w:rPr>
                <w:sz w:val="20"/>
              </w:rPr>
              <w:t>Sofern die Unterlagen nicht elektronisch zugänglich sind, kann jeder Aktionär verlangen, dass ihm diese rechtzeitig zugestellt werden.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If the documents are not accessible electronically, each shareholder may request that they be sent to him or her in due time.</w:t>
            </w:r>
          </w:p>
        </w:tc>
      </w:tr>
      <w:tr>
        <w:trPr/>
        <w:tc>
          <w:tcPr>
            <w:tcW w:w="2651" w:type="dxa"/>
            <w:tcBorders/>
            <w:vAlign w:val="center"/>
          </w:tcPr>
          <w:p>
            <w:pPr>
              <w:pStyle w:val="TableContents"/>
              <w:bidi w:val="0"/>
              <w:spacing w:before="0" w:after="283"/>
              <w:jc w:val="both"/>
              <w:rPr/>
            </w:pPr>
            <w:r>
              <w:rPr/>
              <w:t> </w:t>
            </w:r>
          </w:p>
        </w:tc>
        <w:tc>
          <w:tcPr>
            <w:tcW w:w="1500" w:type="dxa"/>
            <w:tcBorders/>
            <w:vAlign w:val="center"/>
          </w:tcPr>
          <w:p>
            <w:pPr>
              <w:pStyle w:val="TableContents"/>
              <w:bidi w:val="0"/>
              <w:spacing w:before="0" w:after="283"/>
              <w:jc w:val="both"/>
              <w:rPr/>
            </w:pPr>
            <w:r>
              <w:rPr/>
              <w:t> </w:t>
            </w:r>
          </w:p>
        </w:tc>
        <w:tc>
          <w:tcPr>
            <w:tcW w:w="150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571" w:type="dxa"/>
            <w:tcBorders/>
            <w:vAlign w:val="center"/>
          </w:tcPr>
          <w:p>
            <w:pPr>
              <w:pStyle w:val="TableContents"/>
              <w:bidi w:val="0"/>
              <w:spacing w:before="0" w:after="283"/>
              <w:jc w:val="both"/>
              <w:rPr/>
            </w:pPr>
            <w:r>
              <w:rPr/>
              <w:t> </w:t>
            </w:r>
          </w:p>
        </w:tc>
        <w:tc>
          <w:tcPr>
            <w:tcW w:w="1291" w:type="dxa"/>
            <w:tcBorders/>
            <w:vAlign w:val="center"/>
          </w:tcPr>
          <w:p>
            <w:pPr>
              <w:pStyle w:val="TableContents"/>
              <w:bidi w:val="0"/>
              <w:spacing w:before="0" w:after="283"/>
              <w:jc w:val="both"/>
              <w:rPr/>
            </w:pPr>
            <w:r>
              <w:rPr/>
              <w:t> </w:t>
            </w:r>
          </w:p>
        </w:tc>
        <w:tc>
          <w:tcPr>
            <w:tcW w:w="1628" w:type="dxa"/>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Sofern die Unterlagen nicht elektronisch zugänglich sind, kann jeder Aktionär während eines Jahres nach der Generalversammlung von der Gesellschaft verlangen, dass ihm der Geschäftsbericht in der von der Generalversammlung genehmigten Form sowie gegebenenfalls den Revisionsbericht zugestellt werden.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If the documents are not accessible electronically, each shareholder may, for a period of one year after the Meeting of Shareholders, request the Company to send him or her the annual report in the form approved by the Meeting of Shareholders and, if applicable, the audit report.</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9 – Universalversammlung und Zirkularbeschluss</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b/>
                <w:sz w:val="20"/>
              </w:rPr>
            </w:pPr>
            <w:r>
              <w:rPr>
                <w:b/>
                <w:sz w:val="20"/>
              </w:rPr>
              <w:t>Article 9 – Universal Meeting and Circular Resolution</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Eigentümer oder Vertreter sämtlicher Aktien können, falls kein Widerspruch erhoben wird, eine Generalversammlung ohne Einhaltung der für die Einberufung vorgeschriebenen Formvorschriften abhalten.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 or representatives of all the Company’s shares may, if no objection is raised, hold a Meeting of Shareholders without complying with the formal requirements for convening meetings.</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dieser Versammlung kann über alle in den Geschäftskreis der Generalversammlung fallenden Gegenstände gültig verhandelt und Beschluss gefasst werden, solange die Eigentümer oder Vertreter sämtlicher Aktien daran teilnehmen.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owners or representatives of all shares are present or represented at such meeting, all matters which fall within the competence of the Meeting of Shareholders may validly be discussed and resolved upon.</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kann ebenfalls ohne Einhaltung der für die Einberufung geltenden Vorschriften abgehalten werden, wenn die Beschlüsse auf schriftlichem Weg auf Papier oder in elektronischer Form erfolgen, sofern nicht ein Aktionär oder dessen Vertreter die mündliche Beratung verlangt.</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The Meeting of Shareholders may also be held without complying with the formal requirements for convening meetings if the resolutions are passed in writing on paper or in electronic form, unless a shareholder or his or her representative requests oral deliberation.</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283"/>
              <w:jc w:val="both"/>
              <w:rPr>
                <w:b/>
                <w:sz w:val="20"/>
              </w:rPr>
            </w:pPr>
            <w:r>
              <w:rPr>
                <w:b/>
                <w:sz w:val="20"/>
              </w:rPr>
              <w:t>Artikel 10 – Tagungsort</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b/>
                <w:sz w:val="20"/>
              </w:rPr>
            </w:pPr>
            <w:r>
              <w:rPr>
                <w:b/>
                <w:sz w:val="20"/>
              </w:rPr>
              <w:t xml:space="preserve">Article 10 – Venue </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bestimmt den Tagungsort der Generalversammlung.</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The Board of Directors shall determine the venue of the Meeting of Shareholders.</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Durch die Festlegung des Tagungsortes darf für keinen Aktionär die Ausübung seiner Rechte im Zusammenhang mit der Generalversammlung in unsachlicher Weise erschwert werden.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The determination of the venue shall not make it inappropriately difficult for any shareholder to exercise his or her rights in connection with the Meeting of Shareholders.</w:t>
            </w:r>
          </w:p>
        </w:tc>
      </w:tr>
      <w:tr>
        <w:trPr/>
        <w:tc>
          <w:tcPr>
            <w:tcW w:w="565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pPr>
            <w:r>
              <w:rPr/>
              <w:t> </w:t>
            </w:r>
          </w:p>
        </w:tc>
      </w:tr>
      <w:tr>
        <w:trPr/>
        <w:tc>
          <w:tcPr>
            <w:tcW w:w="565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kann an verschiedenen Orten im In- oder Ausland gleichzeitig durchgeführt werden. Die Voten der Teilnehmer müssen in diesem Fall unmittelbar in Bild und Ton an sämtliche Tagungsorte übertragen werden.</w:t>
            </w:r>
          </w:p>
        </w:tc>
        <w:tc>
          <w:tcPr>
            <w:tcW w:w="60" w:type="dxa"/>
            <w:tcBorders/>
            <w:vAlign w:val="center"/>
          </w:tcPr>
          <w:p>
            <w:pPr>
              <w:pStyle w:val="TableContents"/>
              <w:bidi w:val="0"/>
              <w:spacing w:before="0" w:after="283"/>
              <w:jc w:val="both"/>
              <w:rPr/>
            </w:pPr>
            <w:r>
              <w:rPr/>
              <w:t> </w:t>
            </w:r>
          </w:p>
        </w:tc>
        <w:tc>
          <w:tcPr>
            <w:tcW w:w="4490" w:type="dxa"/>
            <w:gridSpan w:val="3"/>
            <w:tcBorders/>
            <w:vAlign w:val="center"/>
          </w:tcPr>
          <w:p>
            <w:pPr>
              <w:pStyle w:val="TableContents"/>
              <w:bidi w:val="0"/>
              <w:spacing w:before="0" w:after="283"/>
              <w:jc w:val="both"/>
              <w:rPr>
                <w:sz w:val="20"/>
              </w:rPr>
            </w:pPr>
            <w:r>
              <w:rPr>
                <w:sz w:val="20"/>
              </w:rPr>
              <w:t>The Meeting of Shareholders may be held simultaneously at various locations in Switzerland or abroad. In this case, the votes of the participants must be transmitted directly in sound and vision to all meeting locations.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
        <w:gridCol w:w="201"/>
        <w:gridCol w:w="4958"/>
        <w:gridCol w:w="60"/>
        <w:gridCol w:w="93"/>
        <w:gridCol w:w="224"/>
        <w:gridCol w:w="4563"/>
      </w:tblGrid>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kann auch im Ausland durchgeführt werden.</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sz w:val="20"/>
              </w:rPr>
            </w:pPr>
            <w:r>
              <w:rPr>
                <w:sz w:val="20"/>
              </w:rPr>
              <w:t>The Meeting of Shareholders may also be held abroad.</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vorsehen, dass Aktionäre, die nicht am Ort der Generalversammlung anwesend sind, ihre Rechte auf elektronischem Weg ausüben können.</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sz w:val="20"/>
              </w:rPr>
            </w:pPr>
            <w:r>
              <w:rPr>
                <w:sz w:val="20"/>
              </w:rPr>
              <w:t>The Board of Directors may provide that shareholders who are not present at the venue of the Meeting of Shareholders may exercise their rights by electronic means.</w:t>
            </w:r>
          </w:p>
        </w:tc>
      </w:tr>
      <w:tr>
        <w:trPr/>
        <w:tc>
          <w:tcPr>
            <w:tcW w:w="106" w:type="dxa"/>
            <w:tcBorders/>
            <w:vAlign w:val="center"/>
          </w:tcPr>
          <w:p>
            <w:pPr>
              <w:pStyle w:val="TableContents"/>
              <w:bidi w:val="0"/>
              <w:spacing w:before="0" w:after="283"/>
              <w:jc w:val="both"/>
              <w:rPr/>
            </w:pPr>
            <w:r>
              <w:rPr/>
              <w:t> </w:t>
            </w:r>
          </w:p>
        </w:tc>
        <w:tc>
          <w:tcPr>
            <w:tcW w:w="201" w:type="dxa"/>
            <w:tcBorders/>
            <w:vAlign w:val="center"/>
          </w:tcPr>
          <w:p>
            <w:pPr>
              <w:pStyle w:val="TableContents"/>
              <w:bidi w:val="0"/>
              <w:spacing w:before="0" w:after="283"/>
              <w:jc w:val="both"/>
              <w:rPr/>
            </w:pPr>
            <w:r>
              <w:rPr/>
              <w:t> </w:t>
            </w:r>
          </w:p>
        </w:tc>
        <w:tc>
          <w:tcPr>
            <w:tcW w:w="495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pPr>
            <w:r>
              <w:rPr/>
              <w:t> </w:t>
            </w:r>
          </w:p>
        </w:tc>
        <w:tc>
          <w:tcPr>
            <w:tcW w:w="4563" w:type="dxa"/>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283"/>
              <w:jc w:val="both"/>
              <w:rPr>
                <w:b/>
                <w:sz w:val="20"/>
              </w:rPr>
            </w:pPr>
            <w:r>
              <w:rPr>
                <w:b/>
                <w:sz w:val="20"/>
              </w:rPr>
              <w:t>Artikel 11 – Virtuelle Generalversammlung</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b/>
                <w:sz w:val="20"/>
              </w:rPr>
            </w:pPr>
            <w:r>
              <w:rPr>
                <w:b/>
                <w:sz w:val="20"/>
              </w:rPr>
              <w:t>Article 11 – Virtual Meeting of Shareholders</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Eine Generalversammlung kann mit elektronischen Mitteln ohne physischen Tagungsort durchgeführt werden (virtuelle Generalversammlung).</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sz w:val="20"/>
              </w:rPr>
            </w:pPr>
            <w:r>
              <w:rPr>
                <w:sz w:val="20"/>
              </w:rPr>
              <w:t>The Meeting of Shareholders may be held by electronic means without a meeting venue (virtual Meeting of Shareholders).</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regelt die Verwendung der elektronischen Mittel. Er stellt sicher, dass</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sz w:val="20"/>
              </w:rPr>
            </w:pPr>
            <w:r>
              <w:rPr>
                <w:sz w:val="20"/>
              </w:rPr>
              <w:t>The Board of Directors determines the use of electronic means. It ensures that</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106" w:type="dxa"/>
            <w:tcBorders/>
            <w:vAlign w:val="center"/>
          </w:tcPr>
          <w:p>
            <w:pPr>
              <w:pStyle w:val="TableContents"/>
              <w:bidi w:val="0"/>
              <w:spacing w:before="0" w:after="0"/>
              <w:jc w:val="both"/>
              <w:rPr>
                <w:caps w:val="false"/>
                <w:smallCaps w:val="false"/>
              </w:rPr>
            </w:pPr>
            <w:r>
              <w:rPr>
                <w:caps w:val="false"/>
                <w:smallCaps w:val="false"/>
              </w:rPr>
              <w:t> </w:t>
            </w:r>
          </w:p>
        </w:tc>
        <w:tc>
          <w:tcPr>
            <w:tcW w:w="20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95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Identität der Teilnehmer feststeht;</w:t>
            </w:r>
          </w:p>
        </w:tc>
        <w:tc>
          <w:tcPr>
            <w:tcW w:w="6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0"/>
              <w:jc w:val="both"/>
              <w:rPr>
                <w:caps w:val="false"/>
                <w:smallCaps w:val="false"/>
              </w:rPr>
            </w:pPr>
            <w:r>
              <w:rPr>
                <w:caps w:val="false"/>
                <w:smallCaps w:val="false"/>
              </w:rPr>
              <w:t> </w:t>
            </w:r>
          </w:p>
        </w:tc>
        <w:tc>
          <w:tcPr>
            <w:tcW w:w="224"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6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participants is established;</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106" w:type="dxa"/>
            <w:tcBorders/>
            <w:vAlign w:val="center"/>
          </w:tcPr>
          <w:p>
            <w:pPr>
              <w:pStyle w:val="TableContents"/>
              <w:bidi w:val="0"/>
              <w:spacing w:before="0" w:after="0"/>
              <w:jc w:val="both"/>
              <w:rPr>
                <w:caps w:val="false"/>
                <w:smallCaps w:val="false"/>
              </w:rPr>
            </w:pPr>
            <w:r>
              <w:rPr>
                <w:caps w:val="false"/>
                <w:smallCaps w:val="false"/>
              </w:rPr>
              <w:t> </w:t>
            </w:r>
          </w:p>
        </w:tc>
        <w:tc>
          <w:tcPr>
            <w:tcW w:w="20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95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Voten in der Generalversammlung unmittelbar übertragen werden;</w:t>
            </w:r>
          </w:p>
        </w:tc>
        <w:tc>
          <w:tcPr>
            <w:tcW w:w="6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2.</w:t>
            </w:r>
          </w:p>
        </w:tc>
        <w:tc>
          <w:tcPr>
            <w:tcW w:w="4563" w:type="dxa"/>
            <w:tcBorders/>
            <w:vAlign w:val="center"/>
          </w:tcPr>
          <w:p>
            <w:pPr>
              <w:pStyle w:val="TableContents"/>
              <w:bidi w:val="0"/>
              <w:spacing w:before="0" w:after="283"/>
              <w:jc w:val="both"/>
              <w:rPr>
                <w:sz w:val="20"/>
              </w:rPr>
            </w:pPr>
            <w:r>
              <w:rPr>
                <w:sz w:val="20"/>
              </w:rPr>
              <w:t>the votes in the Meeting of Shareholders are transmitted directly;</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106" w:type="dxa"/>
            <w:tcBorders/>
            <w:vAlign w:val="center"/>
          </w:tcPr>
          <w:p>
            <w:pPr>
              <w:pStyle w:val="TableContents"/>
              <w:bidi w:val="0"/>
              <w:spacing w:before="0" w:after="0"/>
              <w:jc w:val="both"/>
              <w:rPr>
                <w:caps w:val="false"/>
                <w:smallCaps w:val="false"/>
              </w:rPr>
            </w:pPr>
            <w:r>
              <w:rPr>
                <w:caps w:val="false"/>
                <w:smallCaps w:val="false"/>
              </w:rPr>
              <w:t> </w:t>
            </w:r>
          </w:p>
        </w:tc>
        <w:tc>
          <w:tcPr>
            <w:tcW w:w="20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95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jeder Teilnehmer Anträge stellen und sich an der Diskussion beteiligen kann;</w:t>
            </w:r>
          </w:p>
        </w:tc>
        <w:tc>
          <w:tcPr>
            <w:tcW w:w="6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3.</w:t>
            </w:r>
          </w:p>
        </w:tc>
        <w:tc>
          <w:tcPr>
            <w:tcW w:w="4563" w:type="dxa"/>
            <w:tcBorders/>
            <w:vAlign w:val="center"/>
          </w:tcPr>
          <w:p>
            <w:pPr>
              <w:pStyle w:val="TableContents"/>
              <w:bidi w:val="0"/>
              <w:spacing w:before="0" w:after="283"/>
              <w:jc w:val="both"/>
              <w:rPr>
                <w:sz w:val="20"/>
              </w:rPr>
            </w:pPr>
            <w:r>
              <w:rPr>
                <w:sz w:val="20"/>
              </w:rPr>
              <w:t>each participant can make motions and take part in the discussion;</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106" w:type="dxa"/>
            <w:tcBorders/>
            <w:vAlign w:val="center"/>
          </w:tcPr>
          <w:p>
            <w:pPr>
              <w:pStyle w:val="TableContents"/>
              <w:bidi w:val="0"/>
              <w:spacing w:before="0" w:after="0"/>
              <w:jc w:val="both"/>
              <w:rPr>
                <w:caps w:val="false"/>
                <w:smallCaps w:val="false"/>
              </w:rPr>
            </w:pPr>
            <w:r>
              <w:rPr>
                <w:caps w:val="false"/>
                <w:smallCaps w:val="false"/>
              </w:rPr>
              <w:t> </w:t>
            </w:r>
          </w:p>
        </w:tc>
        <w:tc>
          <w:tcPr>
            <w:tcW w:w="201"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95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Abstimmungsergebnis nicht verfälscht werden kann.</w:t>
            </w:r>
          </w:p>
        </w:tc>
        <w:tc>
          <w:tcPr>
            <w:tcW w:w="60"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4.</w:t>
            </w:r>
          </w:p>
        </w:tc>
        <w:tc>
          <w:tcPr>
            <w:tcW w:w="4563" w:type="dxa"/>
            <w:tcBorders/>
            <w:vAlign w:val="center"/>
          </w:tcPr>
          <w:p>
            <w:pPr>
              <w:pStyle w:val="TableContents"/>
              <w:bidi w:val="0"/>
              <w:spacing w:before="0" w:after="283"/>
              <w:jc w:val="both"/>
              <w:rPr>
                <w:sz w:val="20"/>
              </w:rPr>
            </w:pPr>
            <w:r>
              <w:rPr>
                <w:sz w:val="20"/>
              </w:rPr>
              <w:t>the voting results cannot be falsified.</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Treten während der Generalversammlung technische Probleme auf, sodass die Generalversammlung nicht ordnungsgemäss durchgeführt werden kann, so muss sie wiederholt werden. Beschlüsse, welche die Generalversammlung vor dem Auftreten der technischen Probleme gefasst hat, bleiben gültig.</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sz w:val="20"/>
              </w:rPr>
            </w:pPr>
            <w:r>
              <w:rPr>
                <w:sz w:val="20"/>
              </w:rPr>
              <w:t>If technical problems occur during the Meeting of Shareholders so that the Meeting of Shareholders cannot be held properly, it must be repeated. Resolutions passed by the Meeting of Shareholders before the occurrence of such technical problems shall remain valid.</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12 – Vorsitz und Protokoll; Teilnahme der Mitglieder des Verwaltungsrates</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b/>
                <w:sz w:val="20"/>
              </w:rPr>
            </w:pPr>
            <w:r>
              <w:rPr>
                <w:b/>
                <w:sz w:val="20"/>
              </w:rPr>
              <w:t>Article 12 – Chairperson and Minutes; Participation of the Members of the Board</w:t>
            </w:r>
          </w:p>
        </w:tc>
      </w:tr>
      <w:tr>
        <w:trPr/>
        <w:tc>
          <w:tcPr>
            <w:tcW w:w="526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283"/>
              <w:jc w:val="both"/>
              <w:rPr/>
            </w:pPr>
            <w:r>
              <w:rPr/>
              <w:t> </w:t>
            </w:r>
          </w:p>
        </w:tc>
      </w:tr>
      <w:tr>
        <w:trPr/>
        <w:tc>
          <w:tcPr>
            <w:tcW w:w="5265"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 Vorsitz der Generalversammlung führt der Präsident oder ein anderes Mitglied des Verwaltungsrates. Die Person, die den Vorsitz in der Generalversammlung führt, muss kein Aktionär sein. Ist kein Mitglied des Verwaltungsrates anwesend, wählt die Generalversammlung einen Tagesvorsitzenden. Der Vorsitzende bezeichnet den Protokollführer und die Stimmenzähler, die nicht Aktionäre sein müssen.</w:t>
            </w:r>
          </w:p>
        </w:tc>
        <w:tc>
          <w:tcPr>
            <w:tcW w:w="60" w:type="dxa"/>
            <w:tcBorders/>
            <w:vAlign w:val="center"/>
          </w:tcPr>
          <w:p>
            <w:pPr>
              <w:pStyle w:val="TableContents"/>
              <w:bidi w:val="0"/>
              <w:spacing w:before="0" w:after="283"/>
              <w:jc w:val="both"/>
              <w:rPr/>
            </w:pPr>
            <w:r>
              <w:rPr/>
              <w:t> </w:t>
            </w:r>
          </w:p>
        </w:tc>
        <w:tc>
          <w:tcPr>
            <w:tcW w:w="4880" w:type="dxa"/>
            <w:gridSpan w:val="3"/>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 shall be chaired by the President of the Board of Directors or by another member of the Board of Directors. The person chairing the meeting does not need to be a shareholder. If no member of the Board of Directors is present, the Meeting of Shareholders elects a chairperson of the day. The Chairperson of the Meeting of Shareholders designates the secretary and the scrutineer who do not need to be shareholders.</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03"/>
        <w:gridCol w:w="5308"/>
        <w:gridCol w:w="60"/>
        <w:gridCol w:w="82"/>
        <w:gridCol w:w="168"/>
        <w:gridCol w:w="4244"/>
      </w:tblGrid>
      <w:tr>
        <w:trPr/>
        <w:tc>
          <w:tcPr>
            <w:tcW w:w="56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sorgt für die Führung des Protokolls. Dieses Protokoll hält fest:</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sz w:val="20"/>
              </w:rPr>
            </w:pPr>
            <w:r>
              <w:rPr>
                <w:sz w:val="20"/>
              </w:rPr>
              <w:t>The Board of Directors shall ensure that minutes are taken. The minutes shall record:</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Datum, den Beginn und das Ende sowie die Art und den Ort der Generalversammlung;</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1.</w:t>
            </w:r>
          </w:p>
        </w:tc>
        <w:tc>
          <w:tcPr>
            <w:tcW w:w="4244" w:type="dxa"/>
            <w:tcBorders/>
            <w:vAlign w:val="center"/>
          </w:tcPr>
          <w:p>
            <w:pPr>
              <w:pStyle w:val="TableContents"/>
              <w:bidi w:val="0"/>
              <w:spacing w:before="0" w:after="283"/>
              <w:jc w:val="both"/>
              <w:rPr>
                <w:sz w:val="20"/>
              </w:rPr>
            </w:pPr>
            <w:r>
              <w:rPr>
                <w:sz w:val="20"/>
              </w:rPr>
              <w:t>the date, the beginning and the end, as well as the type and the place of the Meeting of Shareholders;</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Anzahl, die Art, den Nennwert und die Kategorie der vertretenen Aktien, unter Angabe der Aktien, die vom unabhängigen Stimmrechtsvertreter vertreten werden;</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2.</w:t>
            </w:r>
          </w:p>
        </w:tc>
        <w:tc>
          <w:tcPr>
            <w:tcW w:w="4244" w:type="dxa"/>
            <w:tcBorders/>
            <w:vAlign w:val="center"/>
          </w:tcPr>
          <w:p>
            <w:pPr>
              <w:pStyle w:val="TableContents"/>
              <w:bidi w:val="0"/>
              <w:spacing w:before="0" w:after="283"/>
              <w:jc w:val="both"/>
              <w:rPr>
                <w:sz w:val="20"/>
              </w:rPr>
            </w:pPr>
            <w:r>
              <w:rPr>
                <w:sz w:val="20"/>
              </w:rPr>
              <w:t>the number, type, par value and category of shares represented, specifying the shares represented by the independent proxy;</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Beschlüsse und die Wahlergebnisse;</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3.</w:t>
            </w:r>
          </w:p>
        </w:tc>
        <w:tc>
          <w:tcPr>
            <w:tcW w:w="4244" w:type="dxa"/>
            <w:tcBorders/>
            <w:vAlign w:val="center"/>
          </w:tcPr>
          <w:p>
            <w:pPr>
              <w:pStyle w:val="TableContents"/>
              <w:bidi w:val="0"/>
              <w:spacing w:before="0" w:after="283"/>
              <w:jc w:val="both"/>
              <w:rPr>
                <w:sz w:val="20"/>
              </w:rPr>
            </w:pPr>
            <w:r>
              <w:rPr>
                <w:sz w:val="20"/>
              </w:rPr>
              <w:t>the resolutions and the election results;</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in der Generalversammlung gestellten Begehren um Auskunft und die darauf erteilten Antworten;</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4.</w:t>
            </w:r>
          </w:p>
        </w:tc>
        <w:tc>
          <w:tcPr>
            <w:tcW w:w="4244" w:type="dxa"/>
            <w:tcBorders/>
            <w:vAlign w:val="center"/>
          </w:tcPr>
          <w:p>
            <w:pPr>
              <w:pStyle w:val="TableContents"/>
              <w:bidi w:val="0"/>
              <w:spacing w:before="0" w:after="283"/>
              <w:jc w:val="both"/>
              <w:rPr>
                <w:sz w:val="20"/>
              </w:rPr>
            </w:pPr>
            <w:r>
              <w:rPr>
                <w:sz w:val="20"/>
              </w:rPr>
              <w:t>the requests for information made at the Meeting of Shareholders and the answers given thereto;</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von den Aktionären zu Protokoll gegebenen Erklärungen;</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5.</w:t>
            </w:r>
          </w:p>
        </w:tc>
        <w:tc>
          <w:tcPr>
            <w:tcW w:w="4244" w:type="dxa"/>
            <w:tcBorders/>
            <w:vAlign w:val="center"/>
          </w:tcPr>
          <w:p>
            <w:pPr>
              <w:pStyle w:val="TableContents"/>
              <w:bidi w:val="0"/>
              <w:spacing w:before="0" w:after="283"/>
              <w:jc w:val="both"/>
              <w:rPr>
                <w:sz w:val="20"/>
              </w:rPr>
            </w:pPr>
            <w:r>
              <w:rPr>
                <w:sz w:val="20"/>
              </w:rPr>
              <w:t>the statements made by the shareholders for the record;</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30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relevante technische Probleme, die bei der Durchführung der Generalversammlung auftreten.</w:t>
            </w:r>
          </w:p>
        </w:tc>
        <w:tc>
          <w:tcPr>
            <w:tcW w:w="60" w:type="dxa"/>
            <w:tcBorders/>
            <w:vAlign w:val="center"/>
          </w:tcPr>
          <w:p>
            <w:pPr>
              <w:pStyle w:val="TableContents"/>
              <w:bidi w:val="0"/>
              <w:spacing w:before="0" w:after="283"/>
              <w:jc w:val="both"/>
              <w:rPr/>
            </w:pPr>
            <w:r>
              <w:rPr/>
              <w:t> </w:t>
            </w:r>
          </w:p>
        </w:tc>
        <w:tc>
          <w:tcPr>
            <w:tcW w:w="82" w:type="dxa"/>
            <w:tcBorders/>
            <w:vAlign w:val="center"/>
          </w:tcPr>
          <w:p>
            <w:pPr>
              <w:pStyle w:val="TableContents"/>
              <w:bidi w:val="0"/>
              <w:spacing w:before="0" w:after="283"/>
              <w:jc w:val="both"/>
              <w:rPr/>
            </w:pPr>
            <w:r>
              <w:rPr/>
              <w:t> </w:t>
            </w:r>
          </w:p>
        </w:tc>
        <w:tc>
          <w:tcPr>
            <w:tcW w:w="168" w:type="dxa"/>
            <w:tcBorders/>
            <w:vAlign w:val="center"/>
          </w:tcPr>
          <w:p>
            <w:pPr>
              <w:pStyle w:val="TableContents"/>
              <w:bidi w:val="0"/>
              <w:spacing w:before="0" w:after="283"/>
              <w:jc w:val="both"/>
              <w:rPr>
                <w:sz w:val="20"/>
              </w:rPr>
            </w:pPr>
            <w:r>
              <w:rPr>
                <w:sz w:val="20"/>
              </w:rPr>
              <w:t>6.</w:t>
            </w:r>
          </w:p>
        </w:tc>
        <w:tc>
          <w:tcPr>
            <w:tcW w:w="4244" w:type="dxa"/>
            <w:tcBorders/>
            <w:vAlign w:val="center"/>
          </w:tcPr>
          <w:p>
            <w:pPr>
              <w:pStyle w:val="TableContents"/>
              <w:bidi w:val="0"/>
              <w:spacing w:before="0" w:after="283"/>
              <w:jc w:val="both"/>
              <w:rPr>
                <w:sz w:val="20"/>
              </w:rPr>
            </w:pPr>
            <w:r>
              <w:rPr>
                <w:sz w:val="20"/>
              </w:rPr>
              <w:t>relevant technical problems encountered in the conduct of the Meeting of Shareholders.</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283"/>
              <w:jc w:val="both"/>
              <w:rPr/>
            </w:pPr>
            <w:r>
              <w:rPr/>
              <w:t>Das Protokoll ist vom Vorsitzenden der Generalversammlung und vom Protokollführer zu unterzeichnen. Jeder Aktionär kann verlangen, dass ihm das Protokoll innerhalb von 30 Tagen nach der Generalversammlung zugänglich gemacht wird.</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sz w:val="20"/>
              </w:rPr>
            </w:pPr>
            <w:r>
              <w:rPr>
                <w:sz w:val="20"/>
              </w:rPr>
              <w:t>The minutes shall be signed by the Chairperson of the Meeting of Shareholders and the keeper of the minutes. Any shareholder may request that the minutes be made available to him or to her within 30 days of the Meeting of Shareholders.</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Mitglieder des Verwaltungsrates sind berechtigt, an der Generalversammlung teilzunehmen. Sie können Anträge stellen.</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are entitled to attend the Meeting of Shareholders. They may make motions.</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13 – Stimmrecht und Vertretung</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b/>
                <w:sz w:val="20"/>
              </w:rPr>
            </w:pPr>
            <w:r>
              <w:rPr>
                <w:b/>
                <w:sz w:val="20"/>
              </w:rPr>
              <w:t>Article 13 – Voting Right and Proxy</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Jede Aktie verfügt, unabhängig von ihrem Nennwert, über eine Stimme. Die Rechte an den Aktien sind unteilbar.</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shall be entitled to one vote, regardless of its nominal value. The shares are not divisible.</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Jeder stimmberechtigte Aktionär kann seine Aktien in der Generalversammlung selbst vertreten oder durch den unabhängigen Stimmrechtsvertreter, einen Vertreter seiner Wahl (der nicht Aktionär sein muss) auf Grundlage einer schriftlichen Vollmacht oder den gesetzlichen Vertreter ausüben lassen.</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entitled to vote may represent his or her shares at the Meeting of Shareholders or may have them represented by the independent proxy, a representative of his or her choice (who do not need to be a shareholder) based on a written power of attorney or its legal representative.</w:t>
            </w:r>
          </w:p>
        </w:tc>
      </w:tr>
      <w:tr>
        <w:trPr/>
        <w:tc>
          <w:tcPr>
            <w:tcW w:w="565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 </w:t>
            </w:r>
          </w:p>
        </w:tc>
      </w:tr>
      <w:tr>
        <w:trPr/>
        <w:tc>
          <w:tcPr>
            <w:tcW w:w="5651" w:type="dxa"/>
            <w:gridSpan w:val="3"/>
            <w:tcBorders/>
            <w:vAlign w:val="center"/>
          </w:tcPr>
          <w:p>
            <w:pPr>
              <w:pStyle w:val="TableContents"/>
              <w:bidi w:val="0"/>
              <w:spacing w:before="0" w:after="283"/>
              <w:jc w:val="both"/>
              <w:rPr/>
            </w:pPr>
            <w:r>
              <w:rPr/>
              <w:t>Der unabhängige Stimmrechtsvertreter wird von der Generalversammlung für eine Amtsdauer bis zum Abschluss der nächsten ordentlichen Generalversammlung gewählt und kann wiedergewählt werden. Hat die Gesellschaft keinen unabhängigen Stimmrechtsvertreter oder ist der unabhängige Stimmrechtsvertreter verhindert, bezeichnet der Verwaltungsrat den unabhängigen Stimmrechtsvertreter für die nächste Generalversammlung.</w:t>
            </w:r>
          </w:p>
        </w:tc>
        <w:tc>
          <w:tcPr>
            <w:tcW w:w="60" w:type="dxa"/>
            <w:tcBorders/>
            <w:vAlign w:val="center"/>
          </w:tcPr>
          <w:p>
            <w:pPr>
              <w:pStyle w:val="TableContents"/>
              <w:bidi w:val="0"/>
              <w:spacing w:before="0" w:after="283"/>
              <w:jc w:val="both"/>
              <w:rPr/>
            </w:pPr>
            <w:r>
              <w:rPr/>
              <w:t> </w:t>
            </w:r>
          </w:p>
        </w:tc>
        <w:tc>
          <w:tcPr>
            <w:tcW w:w="4494" w:type="dxa"/>
            <w:gridSpan w:val="3"/>
            <w:tcBorders/>
            <w:vAlign w:val="center"/>
          </w:tcPr>
          <w:p>
            <w:pPr>
              <w:pStyle w:val="TableContents"/>
              <w:bidi w:val="0"/>
              <w:spacing w:before="0" w:after="283"/>
              <w:jc w:val="both"/>
              <w:rPr/>
            </w:pPr>
            <w:r>
              <w:rPr/>
              <w:t>The independent proxy shall be elected by the Meeting of Shareholders for a term of office until completion of the next annual Meeting of Shareholders and shall be eligible for re-election. If the Company does not have an independent proxy or if the independent proxy is unable to attend, the Board of Directors shall appoint the independent proxy for the next Meeting of Shareholders.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
        <w:gridCol w:w="154"/>
        <w:gridCol w:w="5014"/>
        <w:gridCol w:w="60"/>
        <w:gridCol w:w="69"/>
        <w:gridCol w:w="157"/>
        <w:gridCol w:w="4666"/>
      </w:tblGrid>
      <w:tr>
        <w:trPr/>
        <w:tc>
          <w:tcPr>
            <w:tcW w:w="5253" w:type="dxa"/>
            <w:gridSpan w:val="3"/>
            <w:tcBorders/>
            <w:vAlign w:val="center"/>
          </w:tcPr>
          <w:p>
            <w:pPr>
              <w:pStyle w:val="TableContents"/>
              <w:bidi w:val="0"/>
              <w:spacing w:before="0" w:after="283"/>
              <w:jc w:val="both"/>
              <w:rPr>
                <w:b/>
                <w:sz w:val="20"/>
              </w:rPr>
            </w:pPr>
            <w:r>
              <w:rPr>
                <w:b/>
                <w:sz w:val="20"/>
              </w:rPr>
              <w:t>Artikel 14 – Beschlussfassung</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b/>
                <w:sz w:val="20"/>
              </w:rPr>
            </w:pPr>
            <w:r>
              <w:rPr>
                <w:b/>
                <w:sz w:val="20"/>
              </w:rPr>
              <w:t>Article 14 – Resolutions</w:t>
            </w:r>
          </w:p>
        </w:tc>
      </w:tr>
      <w:tr>
        <w:trPr/>
        <w:tc>
          <w:tcPr>
            <w:tcW w:w="85"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283"/>
              <w:jc w:val="both"/>
              <w:rPr/>
            </w:pPr>
            <w:r>
              <w:rPr/>
              <w:t> </w:t>
            </w:r>
          </w:p>
        </w:tc>
        <w:tc>
          <w:tcPr>
            <w:tcW w:w="501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283"/>
              <w:jc w:val="both"/>
              <w:rPr/>
            </w:pPr>
            <w:r>
              <w:rPr/>
              <w:t> </w:t>
            </w:r>
          </w:p>
        </w:tc>
        <w:tc>
          <w:tcPr>
            <w:tcW w:w="157" w:type="dxa"/>
            <w:tcBorders/>
            <w:vAlign w:val="center"/>
          </w:tcPr>
          <w:p>
            <w:pPr>
              <w:pStyle w:val="TableContents"/>
              <w:bidi w:val="0"/>
              <w:spacing w:before="0" w:after="283"/>
              <w:jc w:val="both"/>
              <w:rPr/>
            </w:pPr>
            <w:r>
              <w:rPr/>
              <w:t> </w:t>
            </w:r>
          </w:p>
        </w:tc>
        <w:tc>
          <w:tcPr>
            <w:tcW w:w="4666" w:type="dxa"/>
            <w:tcBorders/>
            <w:vAlign w:val="center"/>
          </w:tcPr>
          <w:p>
            <w:pPr>
              <w:pStyle w:val="TableContents"/>
              <w:bidi w:val="0"/>
              <w:spacing w:before="0" w:after="283"/>
              <w:jc w:val="both"/>
              <w:rPr/>
            </w:pPr>
            <w:r>
              <w:rPr/>
              <w:t> </w:t>
            </w:r>
          </w:p>
        </w:tc>
      </w:tr>
      <w:tr>
        <w:trPr/>
        <w:tc>
          <w:tcPr>
            <w:tcW w:w="525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fasst ihre Beschlüsse und vollzieht ihre Wahlen, soweit das Gesetz oder die Statuten es nicht anders bestimmen, mit der absoluten Mehrheit der vertretenen Aktienstimmen. Bei Stimmengleichheit gilt ein Antrag als abgelehnt. Dem Vorsitzenden steht kein Stichentscheid zu.</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law or the Articles of Association, the Meeting of Shareholders passes resolutions and conducts elections by an absolute majority of all votes represented. In the event of a tie, a motion shall be deemed rejected. The Chairperson of the Meeting of Shareholders does not have the casting vote.</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525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Bevor ein Beschluss nach Artikel 7 Ziffer 3 und 4 dieser Statuten gefasst werden kann, muss der Generalversammlung der Revisionsbericht vorliegen. Die Revisionsstelle muss an der Generalversammlung anwesend sein.</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passing a resolution according to Article 7 Sections 3 and 4 of these Articles of Association, the audit report must be available to the Meeting of Shareholders. The Auditors must be present at the Meeting of Shareholders.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525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Beschluss der Generalversammlung, der mindestens zwei Drittel (66⅔%) aller an der Generalversammlung vertretenen Aktienstimmen und die Mehrheit der vertretenen Aktiennennwerte auf sich vereinigt, ist erforderlich für:</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passed by at least two thirds (66⅔%) of the votes represented at the meeting and the majority of the aggregate nominal value of the shares represented is required for:</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Änderung des Gesellschaftszwecks;</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the Company’s purpose;</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Zusammenlegung von Aktien, soweit dafür nicht die Zustimmung aller betroffenen Aktionäre erforderlich ist;</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283"/>
              <w:jc w:val="both"/>
              <w:rPr/>
            </w:pPr>
            <w:r>
              <w:rPr/>
              <w:t> </w:t>
            </w:r>
          </w:p>
        </w:tc>
        <w:tc>
          <w:tcPr>
            <w:tcW w:w="157" w:type="dxa"/>
            <w:tcBorders/>
            <w:vAlign w:val="center"/>
          </w:tcPr>
          <w:p>
            <w:pPr>
              <w:pStyle w:val="TableContents"/>
              <w:bidi w:val="0"/>
              <w:spacing w:before="0" w:after="283"/>
              <w:jc w:val="both"/>
              <w:rPr>
                <w:sz w:val="20"/>
              </w:rPr>
            </w:pPr>
            <w:r>
              <w:rPr>
                <w:sz w:val="20"/>
              </w:rPr>
              <w:t>2.</w:t>
            </w:r>
          </w:p>
        </w:tc>
        <w:tc>
          <w:tcPr>
            <w:tcW w:w="4666" w:type="dxa"/>
            <w:tcBorders/>
            <w:vAlign w:val="center"/>
          </w:tcPr>
          <w:p>
            <w:pPr>
              <w:pStyle w:val="TableContents"/>
              <w:bidi w:val="0"/>
              <w:spacing w:before="0" w:after="283"/>
              <w:jc w:val="both"/>
              <w:rPr>
                <w:sz w:val="20"/>
              </w:rPr>
            </w:pPr>
            <w:r>
              <w:rPr>
                <w:sz w:val="20"/>
              </w:rPr>
              <w:t>the consolidation of shares, insofar as this does not require the consent of all shareholders affected;</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283"/>
              <w:jc w:val="both"/>
              <w:rPr>
                <w:sz w:val="20"/>
              </w:rPr>
            </w:pPr>
            <w:r>
              <w:rPr>
                <w:sz w:val="20"/>
              </w:rPr>
              <w:t>3.</w:t>
            </w:r>
          </w:p>
        </w:tc>
        <w:tc>
          <w:tcPr>
            <w:tcW w:w="5014" w:type="dxa"/>
            <w:tcBorders/>
            <w:vAlign w:val="center"/>
          </w:tcPr>
          <w:p>
            <w:pPr>
              <w:pStyle w:val="TableContents"/>
              <w:bidi w:val="0"/>
              <w:spacing w:before="0" w:after="283"/>
              <w:jc w:val="both"/>
              <w:rPr>
                <w:sz w:val="20"/>
              </w:rPr>
            </w:pPr>
            <w:r>
              <w:rPr>
                <w:sz w:val="20"/>
              </w:rPr>
              <w:t>die Kapitalerhöhung aus Eigenkapital, gegen Sacheinlagen oder durch Verrechnung von Forderungen und die Gewährung von besonderen Vorteilen;</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 increase against the Company’s equity, against contributions in kind, or by offsetting receivables, as well as the granting of special privileges;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Umwandlung von Partizipationsscheinen in Aktien;</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participation certificates into shares;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Einschränkung oder Aufhebung des Bezugsrechts;</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or withdrawal of subscription rights;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Einführung eines bedingten Kapitals oder eines Kapitalbands;</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283"/>
              <w:jc w:val="both"/>
              <w:rPr/>
            </w:pPr>
            <w:r>
              <w:rPr/>
              <w:t> </w:t>
            </w:r>
          </w:p>
        </w:tc>
        <w:tc>
          <w:tcPr>
            <w:tcW w:w="157" w:type="dxa"/>
            <w:tcBorders/>
            <w:vAlign w:val="center"/>
          </w:tcPr>
          <w:p>
            <w:pPr>
              <w:pStyle w:val="TableContents"/>
              <w:bidi w:val="0"/>
              <w:spacing w:before="0" w:after="283"/>
              <w:jc w:val="both"/>
              <w:rPr>
                <w:sz w:val="20"/>
              </w:rPr>
            </w:pPr>
            <w:r>
              <w:rPr>
                <w:sz w:val="20"/>
              </w:rPr>
              <w:t>6.</w:t>
            </w:r>
          </w:p>
        </w:tc>
        <w:tc>
          <w:tcPr>
            <w:tcW w:w="4666" w:type="dxa"/>
            <w:tcBorders/>
            <w:vAlign w:val="center"/>
          </w:tcPr>
          <w:p>
            <w:pPr>
              <w:pStyle w:val="TableContents"/>
              <w:bidi w:val="0"/>
              <w:spacing w:before="0" w:after="283"/>
              <w:jc w:val="both"/>
              <w:rPr>
                <w:sz w:val="20"/>
              </w:rPr>
            </w:pPr>
            <w:r>
              <w:rPr>
                <w:sz w:val="20"/>
              </w:rPr>
              <w:t>the introduction of a conditional capital or a capital band;</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283"/>
              <w:jc w:val="both"/>
              <w:rPr>
                <w:sz w:val="20"/>
              </w:rPr>
            </w:pPr>
            <w:r>
              <w:rPr>
                <w:sz w:val="20"/>
              </w:rPr>
              <w:t>7.</w:t>
            </w:r>
          </w:p>
        </w:tc>
        <w:tc>
          <w:tcPr>
            <w:tcW w:w="5014" w:type="dxa"/>
            <w:tcBorders/>
            <w:vAlign w:val="center"/>
          </w:tcPr>
          <w:p>
            <w:pPr>
              <w:pStyle w:val="TableContents"/>
              <w:bidi w:val="0"/>
              <w:spacing w:before="0" w:after="283"/>
              <w:jc w:val="both"/>
              <w:rPr>
                <w:sz w:val="20"/>
              </w:rPr>
            </w:pPr>
            <w:r>
              <w:rPr>
                <w:sz w:val="20"/>
              </w:rPr>
              <w:t>die Beschränkung der Übertragbarkeit von Namenaktien;</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of the transferability of registered shares;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0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Einführung von Stimmrechtsaktien;</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creation of shares with privileged voting rights;</w:t>
            </w:r>
          </w:p>
        </w:tc>
      </w:tr>
      <w:tr>
        <w:trPr/>
        <w:tc>
          <w:tcPr>
            <w:tcW w:w="5253"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892" w:type="dxa"/>
            <w:gridSpan w:val="3"/>
            <w:tcBorders/>
            <w:vAlign w:val="center"/>
          </w:tcPr>
          <w:p>
            <w:pPr>
              <w:pStyle w:val="TableContents"/>
              <w:bidi w:val="0"/>
              <w:spacing w:before="0" w:after="283"/>
              <w:jc w:val="both"/>
              <w:rPr/>
            </w:pPr>
            <w:r>
              <w:rPr/>
              <w:t> </w:t>
            </w:r>
          </w:p>
        </w:tc>
      </w:tr>
      <w:tr>
        <w:trPr/>
        <w:tc>
          <w:tcPr>
            <w:tcW w:w="85" w:type="dxa"/>
            <w:tcBorders/>
            <w:vAlign w:val="center"/>
          </w:tcPr>
          <w:p>
            <w:pPr>
              <w:pStyle w:val="TableContents"/>
              <w:bidi w:val="0"/>
              <w:spacing w:before="0" w:after="283"/>
              <w:jc w:val="both"/>
              <w:rPr/>
            </w:pPr>
            <w:r>
              <w:rPr/>
              <w:t> </w:t>
            </w:r>
          </w:p>
        </w:tc>
        <w:tc>
          <w:tcPr>
            <w:tcW w:w="154" w:type="dxa"/>
            <w:tcBorders/>
            <w:vAlign w:val="center"/>
          </w:tcPr>
          <w:p>
            <w:pPr>
              <w:pStyle w:val="TableContents"/>
              <w:bidi w:val="0"/>
              <w:spacing w:before="0" w:after="283"/>
              <w:jc w:val="both"/>
              <w:rPr>
                <w:sz w:val="20"/>
              </w:rPr>
            </w:pPr>
            <w:r>
              <w:rPr>
                <w:sz w:val="20"/>
              </w:rPr>
              <w:t>9.</w:t>
            </w:r>
          </w:p>
        </w:tc>
        <w:tc>
          <w:tcPr>
            <w:tcW w:w="5014" w:type="dxa"/>
            <w:tcBorders/>
            <w:vAlign w:val="center"/>
          </w:tcPr>
          <w:p>
            <w:pPr>
              <w:pStyle w:val="TableContents"/>
              <w:bidi w:val="0"/>
              <w:spacing w:before="0" w:after="283"/>
              <w:jc w:val="both"/>
              <w:rPr>
                <w:sz w:val="20"/>
              </w:rPr>
            </w:pPr>
            <w:r>
              <w:rPr>
                <w:sz w:val="20"/>
              </w:rPr>
              <w:t>den Wechsel der Währung des Aktienkapitals;</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5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6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currency of the share capital;</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332"/>
        <w:gridCol w:w="4618"/>
        <w:gridCol w:w="60"/>
        <w:gridCol w:w="265"/>
        <w:gridCol w:w="324"/>
        <w:gridCol w:w="4315"/>
      </w:tblGrid>
      <w:tr>
        <w:trPr/>
        <w:tc>
          <w:tcPr>
            <w:tcW w:w="291"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Einführung des Stichentscheids des Vorsitzenden in der Generalversammlung;</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sz w:val="20"/>
              </w:rPr>
            </w:pPr>
            <w:r>
              <w:rPr>
                <w:sz w:val="20"/>
              </w:rPr>
              <w:t>10.</w:t>
            </w:r>
          </w:p>
        </w:tc>
        <w:tc>
          <w:tcPr>
            <w:tcW w:w="4315" w:type="dxa"/>
            <w:tcBorders/>
            <w:vAlign w:val="center"/>
          </w:tcPr>
          <w:p>
            <w:pPr>
              <w:pStyle w:val="TableContents"/>
              <w:bidi w:val="0"/>
              <w:spacing w:before="0" w:after="283"/>
              <w:jc w:val="both"/>
              <w:rPr>
                <w:sz w:val="20"/>
              </w:rPr>
            </w:pPr>
            <w:r>
              <w:rPr>
                <w:sz w:val="20"/>
              </w:rPr>
              <w:t>the introduction of the casting vote of the Chairperson in the Meeting of Shareholders;</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eine Statutenbestimmung zur Durchführung der Generalversammlung im Ausland;</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sz w:val="20"/>
              </w:rPr>
            </w:pPr>
            <w:r>
              <w:rPr>
                <w:sz w:val="20"/>
              </w:rPr>
              <w:t>11.</w:t>
            </w:r>
          </w:p>
        </w:tc>
        <w:tc>
          <w:tcPr>
            <w:tcW w:w="4315" w:type="dxa"/>
            <w:tcBorders/>
            <w:vAlign w:val="center"/>
          </w:tcPr>
          <w:p>
            <w:pPr>
              <w:pStyle w:val="TableContents"/>
              <w:bidi w:val="0"/>
              <w:spacing w:before="0" w:after="283"/>
              <w:jc w:val="both"/>
              <w:rPr>
                <w:sz w:val="20"/>
              </w:rPr>
            </w:pPr>
            <w:r>
              <w:rPr>
                <w:sz w:val="20"/>
              </w:rPr>
              <w:t>a provision in the Articles of Association for the holding of the Meeting of Shareholders abroad;</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283"/>
              <w:jc w:val="both"/>
              <w:rPr/>
            </w:pPr>
            <w:r>
              <w:rPr/>
              <w:t> </w:t>
            </w:r>
          </w:p>
        </w:tc>
        <w:tc>
          <w:tcPr>
            <w:tcW w:w="332" w:type="dxa"/>
            <w:tcBorders/>
            <w:vAlign w:val="center"/>
          </w:tcPr>
          <w:p>
            <w:pPr>
              <w:pStyle w:val="TableContents"/>
              <w:bidi w:val="0"/>
              <w:spacing w:before="0" w:after="283"/>
              <w:jc w:val="both"/>
              <w:rPr>
                <w:sz w:val="20"/>
              </w:rPr>
            </w:pPr>
            <w:r>
              <w:rPr>
                <w:sz w:val="20"/>
              </w:rPr>
              <w:t>12.</w:t>
            </w:r>
          </w:p>
        </w:tc>
        <w:tc>
          <w:tcPr>
            <w:tcW w:w="4618" w:type="dxa"/>
            <w:tcBorders/>
            <w:vAlign w:val="center"/>
          </w:tcPr>
          <w:p>
            <w:pPr>
              <w:pStyle w:val="TableContents"/>
              <w:bidi w:val="0"/>
              <w:spacing w:before="0" w:after="283"/>
              <w:jc w:val="both"/>
              <w:rPr>
                <w:sz w:val="20"/>
              </w:rPr>
            </w:pPr>
            <w:r>
              <w:rPr>
                <w:sz w:val="20"/>
              </w:rPr>
              <w:t>die Verlegung des Sitzes der Gesellschaft;</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3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the registered office of the Company;</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Dekotierung der Beteiligungspapiere der Gesellschaft;</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3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of the shares of the Company;</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Einführung einer statutarischen Schiedsklausel; und</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3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an arbitration clause in the Articles of Association; and</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3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Auflösung der Gesellschaft mit oder ohne Liquidation.</w:t>
            </w:r>
          </w:p>
        </w:tc>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283"/>
              <w:jc w:val="both"/>
              <w:rPr/>
            </w:pPr>
            <w:r>
              <w:rPr/>
              <w:t> </w:t>
            </w:r>
          </w:p>
        </w:tc>
        <w:tc>
          <w:tcPr>
            <w:tcW w:w="324" w:type="dxa"/>
            <w:tcBorders/>
            <w:vAlign w:val="center"/>
          </w:tcPr>
          <w:p>
            <w:pPr>
              <w:pStyle w:val="TableContents"/>
              <w:bidi w:val="0"/>
              <w:spacing w:before="0" w:after="283"/>
              <w:jc w:val="both"/>
              <w:rPr>
                <w:sz w:val="20"/>
              </w:rPr>
            </w:pPr>
            <w:r>
              <w:rPr>
                <w:sz w:val="20"/>
              </w:rPr>
              <w:t>15.</w:t>
            </w:r>
          </w:p>
        </w:tc>
        <w:tc>
          <w:tcPr>
            <w:tcW w:w="4315" w:type="dxa"/>
            <w:tcBorders/>
            <w:vAlign w:val="center"/>
          </w:tcPr>
          <w:p>
            <w:pPr>
              <w:pStyle w:val="TableContents"/>
              <w:bidi w:val="0"/>
              <w:spacing w:before="0" w:after="283"/>
              <w:jc w:val="both"/>
              <w:rPr>
                <w:sz w:val="20"/>
              </w:rPr>
            </w:pPr>
            <w:r>
              <w:rPr>
                <w:sz w:val="20"/>
              </w:rPr>
              <w:t>the dissolution or liquidation of the Company.</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Statutenbestimmungen, die für die Fassung bestimmter Beschlüsse grössere Mehrheiten als die vom Gesetz vorgeschriebenen festlegen, können nur mit dem vorgesehenen Mehr eingeführt, geändert oder aufgehoben werden.</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Articles of Association contain provisions which set higher majorities than those provided for by law for the adoption of certain resolutions, such provisions may be introduced, amended or repealed only with such higher majority.</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Übrigen richten sich die Befugnisse und die Organisation der Generalversammlung, soweit die Statuten nicht etwas anderes festlegen, nach den gesetzlichen Vorschriften.</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unless the Articles of Association provide otherwise, the powers and organization of the Meeting of Shareholders are governed by the law.</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283"/>
              <w:jc w:val="both"/>
              <w:rPr>
                <w:b/>
                <w:caps/>
                <w:sz w:val="20"/>
              </w:rPr>
            </w:pPr>
            <w:r>
              <w:rPr>
                <w:b/>
                <w:caps/>
                <w:sz w:val="20"/>
              </w:rPr>
              <w:t>B.</w:t>
            </w:r>
          </w:p>
        </w:tc>
        <w:tc>
          <w:tcPr>
            <w:tcW w:w="4950" w:type="dxa"/>
            <w:gridSpan w:val="2"/>
            <w:tcBorders/>
            <w:vAlign w:val="center"/>
          </w:tcPr>
          <w:p>
            <w:pPr>
              <w:pStyle w:val="TableContents"/>
              <w:bidi w:val="0"/>
              <w:spacing w:before="0" w:after="283"/>
              <w:jc w:val="both"/>
              <w:rPr>
                <w:b/>
                <w:caps/>
                <w:sz w:val="20"/>
              </w:rPr>
            </w:pPr>
            <w:r>
              <w:rPr>
                <w:b/>
                <w:caps/>
                <w:sz w:val="20"/>
              </w:rPr>
              <w:t>Verwaltungsrat</w:t>
            </w:r>
          </w:p>
        </w:tc>
        <w:tc>
          <w:tcPr>
            <w:tcW w:w="60" w:type="dxa"/>
            <w:tcBorders/>
            <w:vAlign w:val="center"/>
          </w:tcPr>
          <w:p>
            <w:pPr>
              <w:pStyle w:val="TableContents"/>
              <w:bidi w:val="0"/>
              <w:spacing w:before="0" w:after="283"/>
              <w:jc w:val="both"/>
              <w:rPr>
                <w:caps/>
              </w:rPr>
            </w:pPr>
            <w:r>
              <w:rPr>
                <w:caps/>
              </w:rPr>
              <w:t> </w:t>
            </w:r>
          </w:p>
        </w:tc>
        <w:tc>
          <w:tcPr>
            <w:tcW w:w="265" w:type="dxa"/>
            <w:tcBorders/>
            <w:vAlign w:val="center"/>
          </w:tcPr>
          <w:p>
            <w:pPr>
              <w:pStyle w:val="TableContents"/>
              <w:bidi w:val="0"/>
              <w:spacing w:before="0" w:after="283"/>
              <w:jc w:val="both"/>
              <w:rPr>
                <w:b/>
                <w:caps/>
                <w:sz w:val="20"/>
              </w:rPr>
            </w:pPr>
            <w:r>
              <w:rPr>
                <w:b/>
                <w:caps/>
                <w:sz w:val="20"/>
              </w:rPr>
              <w:t>B.</w:t>
            </w:r>
          </w:p>
        </w:tc>
        <w:tc>
          <w:tcPr>
            <w:tcW w:w="4639" w:type="dxa"/>
            <w:gridSpan w:val="2"/>
            <w:tcBorders/>
            <w:vAlign w:val="center"/>
          </w:tcPr>
          <w:p>
            <w:pPr>
              <w:pStyle w:val="TableContents"/>
              <w:bidi w:val="0"/>
              <w:spacing w:before="0" w:after="283"/>
              <w:jc w:val="both"/>
              <w:rPr>
                <w:b/>
                <w:caps/>
                <w:sz w:val="20"/>
              </w:rPr>
            </w:pPr>
            <w:r>
              <w:rPr>
                <w:b/>
                <w:caps/>
                <w:sz w:val="20"/>
              </w:rPr>
              <w:t>Board of Directors</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283"/>
              <w:jc w:val="both"/>
              <w:rPr>
                <w:b/>
                <w:sz w:val="20"/>
              </w:rPr>
            </w:pPr>
            <w:r>
              <w:rPr>
                <w:b/>
                <w:sz w:val="20"/>
              </w:rPr>
              <w:t>Artikel 15 – Organisation</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b/>
                <w:sz w:val="20"/>
              </w:rPr>
            </w:pPr>
            <w:r>
              <w:rPr>
                <w:b/>
                <w:sz w:val="20"/>
              </w:rPr>
              <w:t>Article 15 – Organization</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besteht aus bis zu sieben Mitgliedern.</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sz w:val="20"/>
              </w:rPr>
            </w:pPr>
            <w:r>
              <w:rPr>
                <w:sz w:val="20"/>
              </w:rPr>
              <w:t>The Board of Directors shall consist of up to seven members.</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Vorbehältlich der Wahl des Präsidenten des Verwaltungsrats und der Mitglieder des Vergütungsausschusses durch die Generalversammlung konstituiert sich der Verwaltungsrat selber. Er bezeichnet den Sekretär, der dem Verwaltungsrat nicht angehören muss. Ist das Präsidium des Verwaltungsrats vakant, bezeichnet der Verwaltungsrat aus seiner Mitte einen Präsidenten für die verbleibende Amtsdauer.</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election of the chairman of the Board of Directors and the members of the compensation committee by the Meeting of the Shareholders, the Board of Directors constitutes. It appoints a secretary who does not need to be a member of the Board of Directors. If the office of the chairman of the Board of Directors is vacant, the Board of Directors shall appoint a chairman from among its member for the remaining term of office.</w:t>
            </w:r>
          </w:p>
        </w:tc>
      </w:tr>
      <w:tr>
        <w:trPr/>
        <w:tc>
          <w:tcPr>
            <w:tcW w:w="524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283"/>
              <w:jc w:val="both"/>
              <w:rPr/>
            </w:pPr>
            <w:r>
              <w:rPr/>
              <w:t> </w:t>
            </w:r>
          </w:p>
        </w:tc>
      </w:tr>
      <w:tr>
        <w:trPr/>
        <w:tc>
          <w:tcPr>
            <w:tcW w:w="524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im Rahmen seiner Zuständigkeit und Befugnisse Reglemente erlassen. Solche Reglemente können für wichtige Entscheide des Verwaltungsrates auch qualifizierte Präsenz- und Zustimmungsquoren vorsehen.</w:t>
            </w:r>
          </w:p>
        </w:tc>
        <w:tc>
          <w:tcPr>
            <w:tcW w:w="60" w:type="dxa"/>
            <w:tcBorders/>
            <w:vAlign w:val="center"/>
          </w:tcPr>
          <w:p>
            <w:pPr>
              <w:pStyle w:val="TableContents"/>
              <w:bidi w:val="0"/>
              <w:spacing w:before="0" w:after="283"/>
              <w:jc w:val="both"/>
              <w:rPr/>
            </w:pPr>
            <w:r>
              <w:rPr/>
              <w:t> </w:t>
            </w:r>
          </w:p>
        </w:tc>
        <w:tc>
          <w:tcPr>
            <w:tcW w:w="490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its responsibilities and powers, the Board of Directors may enact Board Regulations. Such Board Regulations may provide for qualified attendance quorums and qualified majority thresholds for important decisions of the Board of Directors.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3"/>
        <w:gridCol w:w="1697"/>
        <w:gridCol w:w="1676"/>
        <w:gridCol w:w="60"/>
        <w:gridCol w:w="1473"/>
        <w:gridCol w:w="1388"/>
        <w:gridCol w:w="1748"/>
      </w:tblGrid>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16 – Bestellung</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b/>
                <w:sz w:val="20"/>
              </w:rPr>
            </w:pPr>
            <w:r>
              <w:rPr>
                <w:b/>
                <w:sz w:val="20"/>
              </w:rPr>
              <w:t>Article 16 – Appointment</w:t>
            </w:r>
          </w:p>
        </w:tc>
      </w:tr>
      <w:tr>
        <w:trPr/>
        <w:tc>
          <w:tcPr>
            <w:tcW w:w="2163" w:type="dxa"/>
            <w:tcBorders/>
            <w:vAlign w:val="center"/>
          </w:tcPr>
          <w:p>
            <w:pPr>
              <w:pStyle w:val="TableContents"/>
              <w:bidi w:val="0"/>
              <w:spacing w:before="0" w:after="283"/>
              <w:jc w:val="both"/>
              <w:rPr/>
            </w:pPr>
            <w:r>
              <w:rPr/>
              <w:t> </w:t>
            </w:r>
          </w:p>
        </w:tc>
        <w:tc>
          <w:tcPr>
            <w:tcW w:w="1697" w:type="dxa"/>
            <w:tcBorders/>
            <w:vAlign w:val="center"/>
          </w:tcPr>
          <w:p>
            <w:pPr>
              <w:pStyle w:val="TableContents"/>
              <w:bidi w:val="0"/>
              <w:spacing w:before="0" w:after="283"/>
              <w:jc w:val="both"/>
              <w:rPr/>
            </w:pPr>
            <w:r>
              <w:rPr/>
              <w:t> </w:t>
            </w:r>
          </w:p>
        </w:tc>
        <w:tc>
          <w:tcPr>
            <w:tcW w:w="167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473" w:type="dxa"/>
            <w:tcBorders/>
            <w:vAlign w:val="center"/>
          </w:tcPr>
          <w:p>
            <w:pPr>
              <w:pStyle w:val="TableContents"/>
              <w:bidi w:val="0"/>
              <w:spacing w:before="0" w:after="283"/>
              <w:jc w:val="both"/>
              <w:rPr/>
            </w:pPr>
            <w:r>
              <w:rPr/>
              <w:t> </w:t>
            </w:r>
          </w:p>
        </w:tc>
        <w:tc>
          <w:tcPr>
            <w:tcW w:w="1388" w:type="dxa"/>
            <w:tcBorders/>
            <w:vAlign w:val="center"/>
          </w:tcPr>
          <w:p>
            <w:pPr>
              <w:pStyle w:val="TableContents"/>
              <w:bidi w:val="0"/>
              <w:spacing w:before="0" w:after="283"/>
              <w:jc w:val="both"/>
              <w:rPr/>
            </w:pPr>
            <w:r>
              <w:rPr/>
              <w:t> </w:t>
            </w:r>
          </w:p>
        </w:tc>
        <w:tc>
          <w:tcPr>
            <w:tcW w:w="1748" w:type="dxa"/>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283"/>
              <w:jc w:val="both"/>
              <w:rPr>
                <w:sz w:val="20"/>
              </w:rPr>
            </w:pPr>
            <w:r>
              <w:rPr>
                <w:sz w:val="20"/>
              </w:rPr>
              <w:t>Die Mitglieder des Verwaltungsrates, der Präsident des Verwaltungsrats sowie die Mitglieder des Vergütungsausschusses werden durch die Generalversammlung jeweils einzeln für die Dauer von einem Jahr bis zum Abschluss der nächsten ordentlichen Generalversammlung gewählt. Wiederwahl ist zulässig.</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the chairman of the Board of Directors and the members of the compensation committee are elected individually by the Meeting of Shareholders for a term of office of one year until completion of the next annual Meeting of Shareholders. Re-election is permissible.</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Neugewählte treten in die Amtsdauer derjenigen Mitglieder ein, die sie ersetzen.</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elected members take over the term of office of the members whom they replace.</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17 – Sitzungen und Beschlussfassung</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b/>
                <w:sz w:val="20"/>
              </w:rPr>
            </w:pPr>
            <w:r>
              <w:rPr>
                <w:b/>
                <w:sz w:val="20"/>
              </w:rPr>
              <w:t>Article 17 – Meetings and Resolutions</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Sitzungen des Verwaltungsrates werden durch den Präsidenten oder, im Verhinderungsfalle, durch ein anderes Mitglied mittels schriftlicher Mitteilung (Brief oder E-Mail) so häufig einberufen, wie es die Geschäfte erfordern. Jedes Mitglied kann unter Angabe der Gründe vom Präsidenten die unverzügliche Einberufung einer Sitzung verlangen.</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sz w:val="20"/>
              </w:rPr>
            </w:pPr>
            <w:r>
              <w:rPr>
                <w:sz w:val="20"/>
              </w:rPr>
              <w:t>Meetings of the Board of Directors shall be called by its President or, if he/she is prevented from doing so, by any other member, by means of written notification (letter or e-mail) as often as business matters require. Any member may request the President to call a meeting without delay, subject to stating the grounds for such requests.</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Einberufung des Verwaltungsrates hat mindestens 10 Tage vor dem Sitzungstage zu erfolgen. In dringenden Fällen kann diese Frist verkürzt werden.</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Board of Directors shall be called at least 10 days prior to the day of the meeting. This period may be shortened in cases of urgency.</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fasst seine Beschlüsse an Sitzungen mit Tagungsort (einschliesslich über Telefon-, Video- oder Computerkonferenz oder andere direkte Kommunikationsmittel) oder unter Verwendung elektronischer Mittel, in sinngemässer Anwendung der Artikel 701c–701e OR, oder auf schriftlichem Weg auf Papier oder in elektronischer Form, sofern nicht ein Mitglied die mündliche Beratung verlangt. Im Fall der Beschlussfassung auf elektronischem Weg ist keine Unterschrift erforderlich; vorbehalten bleibt eine anderslautende, schriftliche Festlegung des Verwaltungsrats.</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passes its resolutions at meetings with a venue (including meetings held by telephone, video or computer conference or other means of direct communication) or, by using electronic means, applying Articles 701c–701e CO mutatis mutandis, or in writing on paper or electronically, unless a member requests that it be debated orally. If the resolution is passed electronically, no signature is required, unless the Board of Directors specify a different requirement in writing.</w:t>
            </w:r>
          </w:p>
        </w:tc>
      </w:tr>
      <w:tr>
        <w:trPr/>
        <w:tc>
          <w:tcPr>
            <w:tcW w:w="553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pPr>
            <w:r>
              <w:rPr/>
              <w:t> </w:t>
            </w:r>
          </w:p>
        </w:tc>
      </w:tr>
      <w:tr>
        <w:trPr/>
        <w:tc>
          <w:tcPr>
            <w:tcW w:w="553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Sitzungen (einschliesslich über Telefon-, Video- oder Computerkonferenz oder andere elektronische Mittel) kann der Verwaltungsrat gültig Beschlüsse fassen, falls die Mehrheit seiner Mitglieder anwesend ist oder mittels Telefon-, Video- oder Computerkonferenz oder anderer elektronischer Mittel teilnimmt, soweit nicht ein anderes Anwesenheitsquorum im Organisationsreglement statuiert ist. Kein Präsenzquorum ist erforderlich, wenn ausschliesslich die Durchführung einer Kapitalerhöhung, Nachliberierung oder Kapitalherabsetzung oder eines Wechsels der Währung des Aktienkapitals festzustellen und die anschliessend vorzunehmende Statutenänderung zu beschliessen ist (insbes. Art. 634b, 652g, 653g, 653u und 653o OR).</w:t>
            </w:r>
          </w:p>
        </w:tc>
        <w:tc>
          <w:tcPr>
            <w:tcW w:w="60" w:type="dxa"/>
            <w:tcBorders/>
            <w:vAlign w:val="center"/>
          </w:tcPr>
          <w:p>
            <w:pPr>
              <w:pStyle w:val="TableContents"/>
              <w:bidi w:val="0"/>
              <w:spacing w:before="0" w:after="283"/>
              <w:jc w:val="both"/>
              <w:rPr/>
            </w:pPr>
            <w:r>
              <w:rPr/>
              <w:t> </w:t>
            </w:r>
          </w:p>
        </w:tc>
        <w:tc>
          <w:tcPr>
            <w:tcW w:w="4609" w:type="dxa"/>
            <w:gridSpan w:val="3"/>
            <w:tcBorders/>
            <w:vAlign w:val="center"/>
          </w:tcPr>
          <w:p>
            <w:pPr>
              <w:pStyle w:val="TableContents"/>
              <w:bidi w:val="0"/>
              <w:spacing w:before="0" w:after="283"/>
              <w:jc w:val="both"/>
              <w:rPr>
                <w:sz w:val="20"/>
              </w:rPr>
            </w:pPr>
            <w:r>
              <w:rPr>
                <w:sz w:val="20"/>
              </w:rPr>
              <w:t>The Board of Directors may pass resolutions at meetings (including meetings held by telephone, video or computer conference or other electronic means), if the majority of its members are present or participate via telephone, video or computer conference or other electronic means, unless a different quorum is stipulated in the Board Regulations. There is no need for a quorum, if only the implementation of an increase of capital, a subsequent payment of capital or a decrease of capital or a change of the currency of the share capital and the corresponding amendment of the Articles of Association is determined (in particular art. 634b, 652g, 653g, 653u and 653o CO).</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
        <w:gridCol w:w="241"/>
        <w:gridCol w:w="5047"/>
        <w:gridCol w:w="60"/>
        <w:gridCol w:w="209"/>
        <w:gridCol w:w="376"/>
        <w:gridCol w:w="4166"/>
      </w:tblGrid>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nicht ein höheres Zustimmungsquorum in einem entsprechenden Organisationsreglement festgelegt ist, fasst der Verwaltungsrat seine Beschlüsse mit dem absoluten Mehr der abgegebenen Stimmen. Bei Stimmengleichheit hat der Vorsitzende den Stichentscheid.</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higher majority thresholds are set forth in the Board Regulations, the Board of Directors passes its resolutions by an absolute majority of the votes cast. In the event of a tie, the chairperson of the Meeting of the Board of Directors has the casting vote.</w:t>
            </w:r>
          </w:p>
        </w:tc>
      </w:tr>
      <w:tr>
        <w:trPr/>
        <w:tc>
          <w:tcPr>
            <w:tcW w:w="10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both"/>
              <w:rPr/>
            </w:pPr>
            <w:r>
              <w:rPr/>
              <w:t> </w:t>
            </w:r>
          </w:p>
        </w:tc>
        <w:tc>
          <w:tcPr>
            <w:tcW w:w="50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376" w:type="dxa"/>
            <w:tcBorders/>
            <w:vAlign w:val="center"/>
          </w:tcPr>
          <w:p>
            <w:pPr>
              <w:pStyle w:val="TableContents"/>
              <w:bidi w:val="0"/>
              <w:spacing w:before="0" w:after="283"/>
              <w:jc w:val="both"/>
              <w:rPr/>
            </w:pPr>
            <w:r>
              <w:rPr/>
              <w:t> </w:t>
            </w:r>
          </w:p>
        </w:tc>
        <w:tc>
          <w:tcPr>
            <w:tcW w:w="4166" w:type="dxa"/>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283"/>
              <w:jc w:val="both"/>
              <w:rPr>
                <w:sz w:val="20"/>
              </w:rPr>
            </w:pPr>
            <w:r>
              <w:rPr>
                <w:sz w:val="20"/>
              </w:rPr>
              <w:t>Über die Verhandlungen und Beschlüsse ist ein Protokoll zu führen, das vom Vorsitzenden und vom Sekretär unterzeichnet wird.</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discussions and the resolutions of the Board of Directors shall be recorded in minutes, which shall be signed by the Chairperson of the Meeting of the Board of Directors and the secretary.</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283"/>
              <w:jc w:val="both"/>
              <w:rPr>
                <w:b/>
                <w:sz w:val="20"/>
              </w:rPr>
            </w:pPr>
            <w:r>
              <w:rPr>
                <w:b/>
                <w:sz w:val="20"/>
              </w:rPr>
              <w:t>Artikel 18 – Recht auf Auskunft und Einsicht</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 Right of Information and Inspection</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Jedes Mitglied des Verwaltungsrates kann Auskunft über alle Angelegenheiten der Gesellschaft verlangen.</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sz w:val="20"/>
              </w:rPr>
            </w:pPr>
            <w:r>
              <w:rPr>
                <w:sz w:val="20"/>
              </w:rPr>
              <w:t>Any member of the Board of Directors may request information about all matters relating to the Company.</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 Sitzungen sind alle Mitglieder des Verwaltungsrates sowie die mit der Geschäftsführung betrauten Personen zur Auskunft verpflichtet.</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meetings, all members of the Board of Directors and the Executive Board are obliged to provide information.</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Ausserhalb der Sitzungen kann jedes Mitglied von den mit der Geschäftsführung betrauten Personen Auskunft über den Geschäftsgang und, mit Ermächtigung des Präsidenten, auch über einzelne Geschäfte verlangen.</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of the meetings, every member may ask the members of the Executive Board for information about the course of business and, with the authorization of the President, about individual transactions.</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es für die Erfüllung einer Aufgabe erforderlich ist, kann jedes Mitglied dem Präsidenten beantragen, dass ihm Bücher und Akten vorgelegt werden.</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is necessary to carry out a duty, any member may ask the President for books of account and files to be submitted to him or her.</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Weist der Präsident ein Gesuch auf Auskunft, Anhörung oder Einsicht ab, so entscheidet der Verwaltungsrat.</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President refuses a request for information, consultation or inspection, the Board of Directors shall decide.</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Regelungen oder Beschlüsse des Verwaltungsrates, die das Recht auf Auskunft und Einsichtnahme der Verwaltungsräte erweitern, bleiben vorbehalten.</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without prejudice to regulations or resolutions by the Board of Directors which extend the right of information and inspection on the part of members of the Board of Directors.</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283"/>
              <w:jc w:val="both"/>
              <w:rPr>
                <w:b/>
                <w:sz w:val="20"/>
              </w:rPr>
            </w:pPr>
            <w:r>
              <w:rPr>
                <w:b/>
                <w:sz w:val="20"/>
              </w:rPr>
              <w:t>Artikel 19 – Befugnisse</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b/>
                <w:sz w:val="20"/>
              </w:rPr>
            </w:pPr>
            <w:r>
              <w:rPr>
                <w:b/>
                <w:sz w:val="20"/>
              </w:rPr>
              <w:t>Article 19 – Powers</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539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hat folgende unübertragbare und unentziehbare Aufgaben:</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the following non-transferrable and inalienable duties:</w:t>
            </w:r>
          </w:p>
        </w:tc>
      </w:tr>
      <w:tr>
        <w:trPr/>
        <w:tc>
          <w:tcPr>
            <w:tcW w:w="5394"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751" w:type="dxa"/>
            <w:gridSpan w:val="3"/>
            <w:tcBorders/>
            <w:vAlign w:val="center"/>
          </w:tcPr>
          <w:p>
            <w:pPr>
              <w:pStyle w:val="TableContents"/>
              <w:bidi w:val="0"/>
              <w:spacing w:before="0" w:after="283"/>
              <w:jc w:val="both"/>
              <w:rPr/>
            </w:pPr>
            <w:r>
              <w:rPr/>
              <w:t> </w:t>
            </w:r>
          </w:p>
        </w:tc>
      </w:tr>
      <w:tr>
        <w:trPr/>
        <w:tc>
          <w:tcPr>
            <w:tcW w:w="106"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4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04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Oberleitung der Gesellschaft und die Erteilung der nötigen Weisungen;</w:t>
            </w:r>
          </w:p>
        </w:tc>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376" w:type="dxa"/>
            <w:tcBorders/>
            <w:vAlign w:val="center"/>
          </w:tcPr>
          <w:p>
            <w:pPr>
              <w:pStyle w:val="TableContents"/>
              <w:bidi w:val="0"/>
              <w:spacing w:before="0" w:after="283"/>
              <w:jc w:val="both"/>
              <w:rPr>
                <w:sz w:val="20"/>
              </w:rPr>
            </w:pPr>
            <w:r>
              <w:rPr>
                <w:sz w:val="20"/>
              </w:rPr>
              <w:t>1.</w:t>
            </w:r>
          </w:p>
        </w:tc>
        <w:tc>
          <w:tcPr>
            <w:tcW w:w="4166" w:type="dxa"/>
            <w:tcBorders/>
            <w:vAlign w:val="center"/>
          </w:tcPr>
          <w:p>
            <w:pPr>
              <w:pStyle w:val="TableContents"/>
              <w:bidi w:val="0"/>
              <w:spacing w:before="0" w:after="283"/>
              <w:jc w:val="both"/>
              <w:rPr>
                <w:sz w:val="20"/>
              </w:rPr>
            </w:pPr>
            <w:r>
              <w:rPr>
                <w:sz w:val="20"/>
              </w:rPr>
              <w:t>to ultimately manage the Company and issue the necessary directives;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
        <w:gridCol w:w="201"/>
        <w:gridCol w:w="4848"/>
        <w:gridCol w:w="60"/>
        <w:gridCol w:w="63"/>
        <w:gridCol w:w="143"/>
        <w:gridCol w:w="4782"/>
      </w:tblGrid>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Festlegung der Organisation;</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7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Company’s organization;</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Ausgestaltung des Rechnungswesens, der Finanzkontrolle sowie die Finanzplanung, sofern dies für die Führung der Gesellschaft notwendig ist;</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3.</w:t>
            </w:r>
          </w:p>
        </w:tc>
        <w:tc>
          <w:tcPr>
            <w:tcW w:w="4782" w:type="dxa"/>
            <w:tcBorders/>
            <w:vAlign w:val="center"/>
          </w:tcPr>
          <w:p>
            <w:pPr>
              <w:pStyle w:val="TableContents"/>
              <w:bidi w:val="0"/>
              <w:spacing w:before="0" w:after="283"/>
              <w:jc w:val="both"/>
              <w:rPr>
                <w:sz w:val="20"/>
              </w:rPr>
            </w:pPr>
            <w:r>
              <w:rPr>
                <w:sz w:val="20"/>
              </w:rPr>
              <w:t>to structure the accounting system, the financial controls and, to the extent necessary for the management of the Company, the financial planning;</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Ernennung und Abberufung der mit der Geschäftsführung und der Vertretung betrauten Personen;</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7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appoint and remove the members of the Executive and the persons entrusted with the representation of the Company;</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283"/>
              <w:jc w:val="both"/>
              <w:rPr/>
            </w:pPr>
            <w:r>
              <w:rPr/>
              <w:t> </w:t>
            </w:r>
          </w:p>
        </w:tc>
        <w:tc>
          <w:tcPr>
            <w:tcW w:w="201" w:type="dxa"/>
            <w:tcBorders/>
            <w:vAlign w:val="center"/>
          </w:tcPr>
          <w:p>
            <w:pPr>
              <w:pStyle w:val="TableContents"/>
              <w:bidi w:val="0"/>
              <w:spacing w:before="0" w:after="283"/>
              <w:jc w:val="both"/>
              <w:rPr>
                <w:sz w:val="20"/>
              </w:rPr>
            </w:pPr>
            <w:r>
              <w:rPr>
                <w:sz w:val="20"/>
              </w:rPr>
              <w:t>5.</w:t>
            </w:r>
          </w:p>
        </w:tc>
        <w:tc>
          <w:tcPr>
            <w:tcW w:w="4848" w:type="dxa"/>
            <w:tcBorders/>
            <w:vAlign w:val="center"/>
          </w:tcPr>
          <w:p>
            <w:pPr>
              <w:pStyle w:val="TableContents"/>
              <w:bidi w:val="0"/>
              <w:spacing w:before="0" w:after="283"/>
              <w:jc w:val="both"/>
              <w:rPr>
                <w:sz w:val="20"/>
              </w:rPr>
            </w:pPr>
            <w:r>
              <w:rPr>
                <w:sz w:val="20"/>
              </w:rPr>
              <w:t>die Oberaufsicht über die mit der Geschäftsführung betrauten Personen, namentlich im Hinblick auf die Befolgung der Gesetze, Statuten, Reglemente und Weisungen;</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78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the ultimate supervision over the Executive Board, in particular with respect to compliance with the law and with the Articles of Association, regulations and directives;</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Erstellung des Geschäftsberichtes, des Vergütungsberichts sowie gegebenenfalls weiterer Berichte gemäss Gesetz;</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6.</w:t>
            </w:r>
          </w:p>
        </w:tc>
        <w:tc>
          <w:tcPr>
            <w:tcW w:w="4782" w:type="dxa"/>
            <w:tcBorders/>
            <w:vAlign w:val="center"/>
          </w:tcPr>
          <w:p>
            <w:pPr>
              <w:pStyle w:val="TableContents"/>
              <w:bidi w:val="0"/>
              <w:spacing w:before="0" w:after="283"/>
              <w:jc w:val="both"/>
              <w:rPr>
                <w:sz w:val="20"/>
              </w:rPr>
            </w:pPr>
            <w:r>
              <w:rPr>
                <w:sz w:val="20"/>
              </w:rPr>
              <w:t>to prepare the annual report, the compensation report and, if necessary, other reports in accordance with the law;</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Vorbereitung der Generalversammlung und die Ausführung ihrer Beschlüsse; und</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7.</w:t>
            </w:r>
          </w:p>
        </w:tc>
        <w:tc>
          <w:tcPr>
            <w:tcW w:w="4782" w:type="dxa"/>
            <w:tcBorders/>
            <w:vAlign w:val="center"/>
          </w:tcPr>
          <w:p>
            <w:pPr>
              <w:pStyle w:val="TableContents"/>
              <w:bidi w:val="0"/>
              <w:spacing w:before="0" w:after="283"/>
              <w:jc w:val="both"/>
              <w:rPr>
                <w:sz w:val="20"/>
              </w:rPr>
            </w:pPr>
            <w:r>
              <w:rPr>
                <w:sz w:val="20"/>
              </w:rPr>
              <w:t>to prepare the Meeting of Shareholders and to implement its resolutions; and</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108"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8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Einreichung eines Gesuchs um Nachlassstundung und die Benachrichtigung des Gerichts im Falle der Überschuldung.</w:t>
            </w:r>
          </w:p>
        </w:tc>
        <w:tc>
          <w:tcPr>
            <w:tcW w:w="60"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both"/>
              <w:rPr>
                <w:sz w:val="20"/>
              </w:rPr>
            </w:pPr>
            <w:r>
              <w:rPr>
                <w:sz w:val="20"/>
              </w:rPr>
              <w:t>8.</w:t>
            </w:r>
          </w:p>
        </w:tc>
        <w:tc>
          <w:tcPr>
            <w:tcW w:w="4782" w:type="dxa"/>
            <w:tcBorders/>
            <w:vAlign w:val="center"/>
          </w:tcPr>
          <w:p>
            <w:pPr>
              <w:pStyle w:val="TableContents"/>
              <w:bidi w:val="0"/>
              <w:spacing w:before="0" w:after="283"/>
              <w:jc w:val="both"/>
              <w:rPr>
                <w:sz w:val="20"/>
              </w:rPr>
            </w:pPr>
            <w:r>
              <w:rPr>
                <w:sz w:val="20"/>
              </w:rPr>
              <w:t>to file a petition for debt-restructuring moratorium and to notify the court in case of over-indebtedness.</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51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zudem in allen Angelegenheiten und für alle Beschlüsse zuständig, die nicht nach zwingendem Recht oder den Statuten der Generalversammlung zugewiesen sind.</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also decide on all matters which are not by mandatory law or by the Articles of Association reserved for decision by the Meeting of Shareholders.</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51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die Vorbereitung und Ausführung seiner Beschlüsse oder die Überwachung von Geschäften Ausschüssen oder einzelnen Mitgliedern zuweisen. Er hat für eine angemessene Berichterstattung an seine Mitglieder zu sorgen.</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delegate the preparation and the implementation of its resolutions or the supervision of business transactions to committees or individual members. The Board of Directors shall provide for adequate reporting to its members.</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51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wahrt die Interessen der Gesellschaft in guten Treuen.</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attends faithfully to the Company’s interests.</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5157"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20 – Übertragung der Geschäftsführung</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 Delegation of Management</w:t>
            </w:r>
          </w:p>
        </w:tc>
      </w:tr>
      <w:tr>
        <w:trPr/>
        <w:tc>
          <w:tcPr>
            <w:tcW w:w="51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pPr>
            <w:r>
              <w:rPr/>
              <w:t> </w:t>
            </w:r>
          </w:p>
        </w:tc>
      </w:tr>
      <w:tr>
        <w:trPr/>
        <w:tc>
          <w:tcPr>
            <w:tcW w:w="51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die Geschäftsführung nach Massgabe eines Organisationsreglements ganz oder zum Teil einzelnen Mitglieder oder Dritten übertragen (Geschäftsleitung).</w:t>
            </w:r>
          </w:p>
        </w:tc>
        <w:tc>
          <w:tcPr>
            <w:tcW w:w="60" w:type="dxa"/>
            <w:tcBorders/>
            <w:vAlign w:val="center"/>
          </w:tcPr>
          <w:p>
            <w:pPr>
              <w:pStyle w:val="TableContents"/>
              <w:bidi w:val="0"/>
              <w:spacing w:before="0" w:after="283"/>
              <w:jc w:val="both"/>
              <w:rPr/>
            </w:pPr>
            <w:r>
              <w:rPr/>
              <w:t> </w:t>
            </w:r>
          </w:p>
        </w:tc>
        <w:tc>
          <w:tcPr>
            <w:tcW w:w="4988" w:type="dxa"/>
            <w:gridSpan w:val="3"/>
            <w:tcBorders/>
            <w:vAlign w:val="center"/>
          </w:tcPr>
          <w:p>
            <w:pPr>
              <w:pStyle w:val="TableContents"/>
              <w:bidi w:val="0"/>
              <w:spacing w:before="0" w:after="283"/>
              <w:jc w:val="both"/>
              <w:rPr>
                <w:sz w:val="20"/>
              </w:rPr>
            </w:pPr>
            <w:r>
              <w:rPr>
                <w:sz w:val="20"/>
              </w:rPr>
              <w:t>The Board of Directors may delegate the management of the Company in whole or in part to individual members or third parties (Executive Board) in accordance with Board Regulations.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8"/>
        <w:gridCol w:w="1691"/>
        <w:gridCol w:w="1693"/>
        <w:gridCol w:w="60"/>
        <w:gridCol w:w="1709"/>
        <w:gridCol w:w="1266"/>
        <w:gridCol w:w="1588"/>
      </w:tblGrid>
      <w:tr>
        <w:trPr/>
        <w:tc>
          <w:tcPr>
            <w:tcW w:w="558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Organisationsreglement ordnet die Geschäftsführung, bestimmt die hierfür erforderlichen Stellen, umschreibt deren Aufgaben und regelt insbesondere die Berichterstattung.</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Regulations govern the management of the Company, stipulate the positions required, define the duties associated with these positions and, in particular, determine the Company’s internal reporting.</w:t>
            </w:r>
          </w:p>
        </w:tc>
      </w:tr>
      <w:tr>
        <w:trPr/>
        <w:tc>
          <w:tcPr>
            <w:tcW w:w="2198" w:type="dxa"/>
            <w:tcBorders/>
            <w:vAlign w:val="center"/>
          </w:tcPr>
          <w:p>
            <w:pPr>
              <w:pStyle w:val="TableContents"/>
              <w:bidi w:val="0"/>
              <w:spacing w:before="0" w:after="283"/>
              <w:jc w:val="both"/>
              <w:rPr/>
            </w:pPr>
            <w:r>
              <w:rPr/>
              <w:t> </w:t>
            </w:r>
          </w:p>
        </w:tc>
        <w:tc>
          <w:tcPr>
            <w:tcW w:w="1691" w:type="dxa"/>
            <w:tcBorders/>
            <w:vAlign w:val="center"/>
          </w:tcPr>
          <w:p>
            <w:pPr>
              <w:pStyle w:val="TableContents"/>
              <w:bidi w:val="0"/>
              <w:spacing w:before="0" w:after="283"/>
              <w:jc w:val="both"/>
              <w:rPr/>
            </w:pPr>
            <w:r>
              <w:rPr/>
              <w:t> </w:t>
            </w:r>
          </w:p>
        </w:tc>
        <w:tc>
          <w:tcPr>
            <w:tcW w:w="169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709" w:type="dxa"/>
            <w:tcBorders/>
            <w:vAlign w:val="center"/>
          </w:tcPr>
          <w:p>
            <w:pPr>
              <w:pStyle w:val="TableContents"/>
              <w:bidi w:val="0"/>
              <w:spacing w:before="0" w:after="283"/>
              <w:jc w:val="both"/>
              <w:rPr/>
            </w:pPr>
            <w:r>
              <w:rPr/>
              <w:t> </w:t>
            </w:r>
          </w:p>
        </w:tc>
        <w:tc>
          <w:tcPr>
            <w:tcW w:w="1266" w:type="dxa"/>
            <w:tcBorders/>
            <w:vAlign w:val="center"/>
          </w:tcPr>
          <w:p>
            <w:pPr>
              <w:pStyle w:val="TableContents"/>
              <w:bidi w:val="0"/>
              <w:spacing w:before="0" w:after="283"/>
              <w:jc w:val="both"/>
              <w:rPr/>
            </w:pPr>
            <w:r>
              <w:rPr/>
              <w:t> </w:t>
            </w:r>
          </w:p>
        </w:tc>
        <w:tc>
          <w:tcPr>
            <w:tcW w:w="1588" w:type="dxa"/>
            <w:tcBorders/>
            <w:vAlign w:val="center"/>
          </w:tcPr>
          <w:p>
            <w:pPr>
              <w:pStyle w:val="TableContents"/>
              <w:bidi w:val="0"/>
              <w:spacing w:before="0" w:after="283"/>
              <w:jc w:val="both"/>
              <w:rPr/>
            </w:pPr>
            <w:r>
              <w:rPr/>
              <w:t> </w:t>
            </w:r>
          </w:p>
        </w:tc>
      </w:tr>
      <w:tr>
        <w:trPr/>
        <w:tc>
          <w:tcPr>
            <w:tcW w:w="558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die Geschäftsführung nicht übertragen worden ist, steht sie allen Mitgliedern des Verwaltungsrates gesamthaft zu.</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management has not been delegated, it is vested jointly in the members of the Board of Directors.</w:t>
            </w:r>
          </w:p>
        </w:tc>
      </w:tr>
      <w:tr>
        <w:trPr/>
        <w:tc>
          <w:tcPr>
            <w:tcW w:w="5582"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558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die Vertretung einem oder mehreren Mitgliedern (Delegierte) oder Dritten (Direktoren) übertragen. Mindestens ein Mitglied des Verwaltungsrates muss zur Vertretung befugt sein.</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sz w:val="20"/>
              </w:rPr>
            </w:pPr>
            <w:r>
              <w:rPr>
                <w:sz w:val="20"/>
              </w:rPr>
              <w:t>The Board of Directors may delegate the power of representation to one or several members (delegates) or third parties (executive officers). At least one member of the Board of Directors must be empowered to represent the Company.</w:t>
            </w:r>
          </w:p>
        </w:tc>
      </w:tr>
      <w:tr>
        <w:trPr/>
        <w:tc>
          <w:tcPr>
            <w:tcW w:w="5582"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5582" w:type="dxa"/>
            <w:gridSpan w:val="3"/>
            <w:tcBorders/>
            <w:vAlign w:val="center"/>
          </w:tcPr>
          <w:p>
            <w:pPr>
              <w:pStyle w:val="TableContents"/>
              <w:bidi w:val="0"/>
              <w:spacing w:before="0" w:after="283"/>
              <w:jc w:val="both"/>
              <w:rPr>
                <w:b/>
                <w:sz w:val="20"/>
              </w:rPr>
            </w:pPr>
            <w:r>
              <w:rPr>
                <w:b/>
                <w:sz w:val="20"/>
              </w:rPr>
              <w:t>Artikel 21 – Schadloshaltung</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 Indemnification</w:t>
            </w:r>
          </w:p>
        </w:tc>
      </w:tr>
      <w:tr>
        <w:trPr/>
        <w:tc>
          <w:tcPr>
            <w:tcW w:w="5582"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5582"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gesetzlich zulässig, hält die Gesellschaft aktuelle und ehemalige Mitglieder des Verwaltungsrats und der Geschäftsleitung der Gesellschaft sowie deren Erben oder Rechtsnachfolger schadlos für Kosten, Ausgaben inklusive angemessener Anwaltskosten, Urteile, Bussen, Verluste, Forderungen, Schäden oder Verbindlichkeiten im Zusammenhang mit Zivil-, Straf-, Administrativ- oder Untersuchungsverfahren, welche ihnen entstehen oder entstehen können aufgrund von (i) von tatsächlichen oder behaupteten Handlungen, Zustimmungen oder Unterlassungen im Zusammenhang mit der Ausübung ihrer Pflichten oder behaupteten Pflichten, (ii) ihrer Tätigkeit als Mitglied des Verwaltungsrats oder der Geschäftsleitung, oder (iii) ihrer Tätigkeit im Auftrag der Gesellschaft als Mitglied des Verwaltungsrats oder der Geschäftsleitung, Arbeitnehmer oder Agent von anderen Unternehmen, Tochtergesellschaften, Personengesellschaften, Trusts oder anderen Gesellschaften.</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permissible by law, the Company indemnifies and holds harmless each present and former member of the Board of Directors and the Executive Board of the Company as well as their heirs or legal successors against any costs or expenses including reasonable attorneys’ fees, judgements, fines, losses, claims, damages or liabilities incurred in connection with any civil, criminal, administrative or investigative action, arising out of or pertaining to (i) actual or alleged actions, approvals, or omissions in connection with the performance of their duties or alleged duties, (ii) their activities and services as a member of the Board of Directors or the Executive Board; or (iii) their activities at the request of the Company as director, officer, employee or agent of another company, subsidiary, partnership, trust or other corporation.</w:t>
            </w:r>
          </w:p>
        </w:tc>
      </w:tr>
      <w:tr>
        <w:trPr/>
        <w:tc>
          <w:tcPr>
            <w:tcW w:w="5582"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283"/>
              <w:jc w:val="both"/>
              <w:rPr/>
            </w:pPr>
            <w:r>
              <w:rPr/>
              <w:t> </w:t>
            </w:r>
          </w:p>
        </w:tc>
      </w:tr>
      <w:tr>
        <w:trPr/>
        <w:tc>
          <w:tcPr>
            <w:tcW w:w="5582" w:type="dxa"/>
            <w:gridSpan w:val="3"/>
            <w:tcBorders/>
            <w:vAlign w:val="center"/>
          </w:tcPr>
          <w:p>
            <w:pPr>
              <w:pStyle w:val="TableContents"/>
              <w:bidi w:val="0"/>
              <w:spacing w:before="0" w:after="283"/>
              <w:jc w:val="both"/>
              <w:rPr>
                <w:sz w:val="20"/>
              </w:rPr>
            </w:pPr>
            <w:r>
              <w:rPr>
                <w:sz w:val="20"/>
              </w:rPr>
              <w:t>Diese Pflicht zur Schadloshaltung besteht nicht, soweit in einem endgültigen und rechtskräftigen Entscheid eines zuständigen Gerichts, Schiedsgerichts oder einer zuständigen Verwaltungsbehörde entschieden worden ist, dass eine der genannten Personen ihrer Pflichten als Mitglied des Verwaltungsrates oder der Geschäftsleitung absichtlich oder grobfahrlässig verletzt hat.</w:t>
            </w:r>
          </w:p>
        </w:tc>
        <w:tc>
          <w:tcPr>
            <w:tcW w:w="60" w:type="dxa"/>
            <w:tcBorders/>
            <w:vAlign w:val="center"/>
          </w:tcPr>
          <w:p>
            <w:pPr>
              <w:pStyle w:val="TableContents"/>
              <w:bidi w:val="0"/>
              <w:spacing w:before="0" w:after="283"/>
              <w:jc w:val="both"/>
              <w:rPr/>
            </w:pPr>
            <w:r>
              <w:rPr/>
              <w:t> </w:t>
            </w:r>
          </w:p>
        </w:tc>
        <w:tc>
          <w:tcPr>
            <w:tcW w:w="456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indemnity shall not extend to any matter in which any of the said persons is found, in a final judgment or decree of a court, arbitral tribunal or government or administrative authority of competent jurisdiction not subject to appeal, to have committed an intentional or grossly negligent breach of said person’s duties as a member of the Board of Directors or the Executive Board.</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7"/>
        <w:gridCol w:w="1627"/>
        <w:gridCol w:w="1632"/>
        <w:gridCol w:w="60"/>
        <w:gridCol w:w="1550"/>
        <w:gridCol w:w="1367"/>
        <w:gridCol w:w="1722"/>
      </w:tblGrid>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schiesst aktuellen und ehemaligen Mitgliedern des Verwaltungsrates und der Geschäftsleitung die Gerichts- oder Anwaltskosten vor, die im Zusammenhang mit allfälligen in Absatz 1 genannten zivil-, straf- oder verwaltungsrechtlichen Verfahren oder Untersuchungen anfallen. Die Gesellschaft kann solche Kostenvorschüsse ablehnen oder zurückfordern, sofern ein zuständiges Gericht oder eine zuständige Verwaltungsbehörde rechtskräftig feststellt, dass das entsprechende Mitglied des Verwaltungsrates oder der Geschäftsleitung eine vorsätzliche oder grobfahrlässige Verletzung seiner Pflichten als Mitglied des Verwaltungsrats oder der Geschäftsleitung begangen hat.</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sz w:val="20"/>
              </w:rPr>
            </w:pPr>
            <w:r>
              <w:rPr>
                <w:sz w:val="20"/>
              </w:rPr>
              <w:t>The Company shall advance existing and former members of the Board of Directors and the Executive Board court costs and attorney fees in connection with potential civil, criminal, administrative or investigative proceedings and investigations as described in paragraph 1. The Company may reject or recover such advanced costs if a court or governmental or administrative authority of competent jurisdiction not subject to appeal holds that the member of the Board of Directors or the Executive Board in questions has committed an intentional or grossly negligent breach of his statutory duties as a member of the Board of Directors or the Executive Board.</w:t>
            </w:r>
          </w:p>
        </w:tc>
      </w:tr>
      <w:tr>
        <w:trPr/>
        <w:tc>
          <w:tcPr>
            <w:tcW w:w="2247" w:type="dxa"/>
            <w:tcBorders/>
            <w:vAlign w:val="center"/>
          </w:tcPr>
          <w:p>
            <w:pPr>
              <w:pStyle w:val="TableContents"/>
              <w:bidi w:val="0"/>
              <w:spacing w:before="0" w:after="283"/>
              <w:jc w:val="both"/>
              <w:rPr/>
            </w:pPr>
            <w:r>
              <w:rPr/>
              <w:t> </w:t>
            </w:r>
          </w:p>
        </w:tc>
        <w:tc>
          <w:tcPr>
            <w:tcW w:w="1627" w:type="dxa"/>
            <w:tcBorders/>
            <w:vAlign w:val="center"/>
          </w:tcPr>
          <w:p>
            <w:pPr>
              <w:pStyle w:val="TableContents"/>
              <w:bidi w:val="0"/>
              <w:spacing w:before="0" w:after="283"/>
              <w:jc w:val="both"/>
              <w:rPr/>
            </w:pPr>
            <w:r>
              <w:rPr/>
              <w:t> </w:t>
            </w:r>
          </w:p>
        </w:tc>
        <w:tc>
          <w:tcPr>
            <w:tcW w:w="163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550" w:type="dxa"/>
            <w:tcBorders/>
            <w:vAlign w:val="center"/>
          </w:tcPr>
          <w:p>
            <w:pPr>
              <w:pStyle w:val="TableContents"/>
              <w:bidi w:val="0"/>
              <w:spacing w:before="0" w:after="283"/>
              <w:jc w:val="both"/>
              <w:rPr/>
            </w:pPr>
            <w:r>
              <w:rPr/>
              <w:t> </w:t>
            </w:r>
          </w:p>
        </w:tc>
        <w:tc>
          <w:tcPr>
            <w:tcW w:w="1367" w:type="dxa"/>
            <w:tcBorders/>
            <w:vAlign w:val="center"/>
          </w:tcPr>
          <w:p>
            <w:pPr>
              <w:pStyle w:val="TableContents"/>
              <w:bidi w:val="0"/>
              <w:spacing w:before="0" w:after="283"/>
              <w:jc w:val="both"/>
              <w:rPr/>
            </w:pPr>
            <w:r>
              <w:rPr/>
              <w:t> </w:t>
            </w:r>
          </w:p>
        </w:tc>
        <w:tc>
          <w:tcPr>
            <w:tcW w:w="1722" w:type="dxa"/>
            <w:tcBorders/>
            <w:vAlign w:val="center"/>
          </w:tcPr>
          <w:p>
            <w:pPr>
              <w:pStyle w:val="TableContents"/>
              <w:bidi w:val="0"/>
              <w:spacing w:before="0" w:after="283"/>
              <w:jc w:val="both"/>
              <w:rPr/>
            </w:pPr>
            <w:r>
              <w:rPr/>
              <w:t> </w:t>
            </w:r>
          </w:p>
        </w:tc>
      </w:tr>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kann Haftpflichtversicherungen für die Mitglieder des Verwaltungsrates oder der Geschäftsleitung abschliessen. Die Bezahlung der Versicherungsprämien wird von der Gesellschaft oder ihren Tochtergesellschaften übernommen.</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sz w:val="20"/>
              </w:rPr>
            </w:pPr>
            <w:r>
              <w:rPr>
                <w:sz w:val="20"/>
              </w:rPr>
              <w:t>The Company may take out a directors’ and officers’ liability insurance for members of the Board of Directors and the Executive Board. The insurance premiums shall be charged to and paid by the Company or its subsidiaries.</w:t>
            </w:r>
          </w:p>
        </w:tc>
      </w:tr>
      <w:tr>
        <w:trPr/>
        <w:tc>
          <w:tcPr>
            <w:tcW w:w="550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pPr>
            <w:r>
              <w:rPr/>
              <w:t> </w:t>
            </w:r>
          </w:p>
        </w:tc>
      </w:tr>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22 – Wahl und Zusammensetzung des Vergütungsausschusses</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b/>
                <w:sz w:val="20"/>
              </w:rPr>
            </w:pPr>
            <w:r>
              <w:rPr>
                <w:b/>
                <w:sz w:val="20"/>
              </w:rPr>
              <w:t>Article 22 – Election and Composition of the Compensation Committee</w:t>
            </w:r>
          </w:p>
        </w:tc>
      </w:tr>
      <w:tr>
        <w:trPr/>
        <w:tc>
          <w:tcPr>
            <w:tcW w:w="550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pPr>
            <w:r>
              <w:rPr/>
              <w:t> </w:t>
            </w:r>
          </w:p>
        </w:tc>
      </w:tr>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Vergütungsausschuss besteht aus 3 (drei) Mitgliedern des Verwaltungsrates. Der Verwaltungsrat bezeichnet den Vorsitzenden des Vergütungsausschusses.</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shall consist of three (3) members of the Board of Directors. The Board of Directors shall appoint the chairman of the compensation committee.</w:t>
            </w:r>
          </w:p>
        </w:tc>
      </w:tr>
      <w:tr>
        <w:trPr/>
        <w:tc>
          <w:tcPr>
            <w:tcW w:w="550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pPr>
            <w:r>
              <w:rPr/>
              <w:t> </w:t>
            </w:r>
          </w:p>
        </w:tc>
      </w:tr>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Mitglieder des Vergütungsausschusses werden von der Generalversammlung jährlich für die Dauer bis zum Abschluss der nächsten ordentlichen Generalversammlung gewählt und sind wiederwählbar. Die Wahl erfolgt für jedes Mitglied des Vergütungsausschusses einzeln. Bei Vakanzen im Vergütungsausschuss, die zu einer Unterschreitung der Mindestanzahl von 3 (drei) Mitgliedern führen, ernennt der Verwaltungsrat für die verbleibende Amtsdauer die fehlenden Mitglieder aus seiner Mitte.</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compensation committee shall be elected annually by the Meeting of Shareholders for a period until completion of the next annual Meeting of Shareholders and shall be eligible for re-election. Each member of the compensation committee shall be elected individually. If there are vacancies on the compensation committee and the number of members falls below the minimum of three (3), the Board of Directors shall appoint the missing member from among its members for the remaining term of office.</w:t>
            </w:r>
          </w:p>
        </w:tc>
      </w:tr>
      <w:tr>
        <w:trPr/>
        <w:tc>
          <w:tcPr>
            <w:tcW w:w="550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283"/>
              <w:jc w:val="both"/>
              <w:rPr/>
            </w:pPr>
            <w:r>
              <w:rPr/>
              <w:t> </w:t>
            </w:r>
          </w:p>
        </w:tc>
      </w:tr>
      <w:tr>
        <w:trPr/>
        <w:tc>
          <w:tcPr>
            <w:tcW w:w="55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im Organisationsreglement oder in einem separaten Reglement Näheres zur Organisation und Beschlussfassung des Vergütungsausschusses festlegen.</w:t>
            </w:r>
          </w:p>
        </w:tc>
        <w:tc>
          <w:tcPr>
            <w:tcW w:w="60" w:type="dxa"/>
            <w:tcBorders/>
            <w:vAlign w:val="center"/>
          </w:tcPr>
          <w:p>
            <w:pPr>
              <w:pStyle w:val="TableContents"/>
              <w:bidi w:val="0"/>
              <w:spacing w:before="0" w:after="283"/>
              <w:jc w:val="both"/>
              <w:rPr/>
            </w:pPr>
            <w:r>
              <w:rPr/>
              <w:t> </w:t>
            </w:r>
          </w:p>
        </w:tc>
        <w:tc>
          <w:tcPr>
            <w:tcW w:w="463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determine further details on the organization and decision-making of the compensation committee in the organizational rules or in separate regulations.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0"/>
        <w:gridCol w:w="2020"/>
        <w:gridCol w:w="607"/>
        <w:gridCol w:w="60"/>
        <w:gridCol w:w="2312"/>
        <w:gridCol w:w="1639"/>
        <w:gridCol w:w="637"/>
      </w:tblGrid>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23 – Aufgaben des Vergütungsausschusses</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b/>
                <w:sz w:val="20"/>
              </w:rPr>
            </w:pPr>
            <w:r>
              <w:rPr>
                <w:b/>
                <w:sz w:val="20"/>
              </w:rPr>
              <w:t>Article 23 – Duties of the Compensation Committee</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Vergütungsausschuss unterstützt den Verwaltungsrat bei der Festsetzung und Überprüfung der Vergütungsprinzipien und -richtlinien, bei der Erstellung des Vergütungsberichts sowie bei der Vorbereitung der Anträge zuhanden der Generalversammlung über die Vergütung des Verwaltungsrates und der Geschäftsleitung. Er kann dem Verwaltungsrat Anträge und Empfehlungen zu weiteren Vergütungsfragen unterbreiten.</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shall support the Board of Directors establishing and reviewing the Company’s compensation principles and guidelines, in preparing the compensation report and in preparing the proposals to the Meeting of Shareholders regarding compensation of the members of the Board of Directors and Executive Board. The compensation committee may submit proposals to the Board of Directors in other compensation related issues.</w:t>
            </w:r>
          </w:p>
        </w:tc>
      </w:tr>
      <w:tr>
        <w:trPr/>
        <w:tc>
          <w:tcPr>
            <w:tcW w:w="2930" w:type="dxa"/>
            <w:tcBorders/>
            <w:vAlign w:val="center"/>
          </w:tcPr>
          <w:p>
            <w:pPr>
              <w:pStyle w:val="TableContents"/>
              <w:bidi w:val="0"/>
              <w:spacing w:before="0" w:after="283"/>
              <w:jc w:val="both"/>
              <w:rPr/>
            </w:pPr>
            <w:r>
              <w:rPr/>
              <w:t> </w:t>
            </w:r>
          </w:p>
        </w:tc>
        <w:tc>
          <w:tcPr>
            <w:tcW w:w="2020" w:type="dxa"/>
            <w:tcBorders/>
            <w:vAlign w:val="center"/>
          </w:tcPr>
          <w:p>
            <w:pPr>
              <w:pStyle w:val="TableContents"/>
              <w:bidi w:val="0"/>
              <w:spacing w:before="0" w:after="283"/>
              <w:jc w:val="both"/>
              <w:rPr/>
            </w:pPr>
            <w:r>
              <w:rPr/>
              <w:t> </w:t>
            </w:r>
          </w:p>
        </w:tc>
        <w:tc>
          <w:tcPr>
            <w:tcW w:w="6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312" w:type="dxa"/>
            <w:tcBorders/>
            <w:vAlign w:val="center"/>
          </w:tcPr>
          <w:p>
            <w:pPr>
              <w:pStyle w:val="TableContents"/>
              <w:bidi w:val="0"/>
              <w:spacing w:before="0" w:after="283"/>
              <w:jc w:val="both"/>
              <w:rPr/>
            </w:pPr>
            <w:r>
              <w:rPr/>
              <w:t> </w:t>
            </w:r>
          </w:p>
        </w:tc>
        <w:tc>
          <w:tcPr>
            <w:tcW w:w="1639" w:type="dxa"/>
            <w:tcBorders/>
            <w:vAlign w:val="center"/>
          </w:tcPr>
          <w:p>
            <w:pPr>
              <w:pStyle w:val="TableContents"/>
              <w:bidi w:val="0"/>
              <w:spacing w:before="0" w:after="283"/>
              <w:jc w:val="both"/>
              <w:rPr/>
            </w:pPr>
            <w:r>
              <w:rPr/>
              <w:t> </w:t>
            </w:r>
          </w:p>
        </w:tc>
        <w:tc>
          <w:tcPr>
            <w:tcW w:w="637" w:type="dxa"/>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kann dem Vergütungsausschuss weitere Aufgaben und Befugnisse zuweisen.</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delegate further tasks and powers to the compensation committee.</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283"/>
              <w:jc w:val="both"/>
              <w:rPr>
                <w:b/>
                <w:caps/>
                <w:sz w:val="20"/>
              </w:rPr>
            </w:pPr>
            <w:r>
              <w:rPr>
                <w:b/>
                <w:caps/>
                <w:sz w:val="20"/>
              </w:rPr>
              <w:t>C.</w:t>
            </w:r>
          </w:p>
        </w:tc>
        <w:tc>
          <w:tcPr>
            <w:tcW w:w="2627" w:type="dxa"/>
            <w:gridSpan w:val="2"/>
            <w:tcBorders/>
            <w:vAlign w:val="center"/>
          </w:tcPr>
          <w:p>
            <w:pPr>
              <w:pStyle w:val="TableContents"/>
              <w:bidi w:val="0"/>
              <w:spacing w:before="0" w:after="283"/>
              <w:jc w:val="both"/>
              <w:rPr>
                <w:b/>
                <w:caps/>
                <w:sz w:val="20"/>
              </w:rPr>
            </w:pPr>
            <w:r>
              <w:rPr>
                <w:b/>
                <w:caps/>
                <w:sz w:val="20"/>
              </w:rPr>
              <w:t>Revisionsstelle</w:t>
            </w:r>
          </w:p>
        </w:tc>
        <w:tc>
          <w:tcPr>
            <w:tcW w:w="60" w:type="dxa"/>
            <w:tcBorders/>
            <w:vAlign w:val="center"/>
          </w:tcPr>
          <w:p>
            <w:pPr>
              <w:pStyle w:val="TableContents"/>
              <w:bidi w:val="0"/>
              <w:spacing w:before="0" w:after="283"/>
              <w:jc w:val="both"/>
              <w:rPr>
                <w:caps/>
              </w:rPr>
            </w:pPr>
            <w:r>
              <w:rPr>
                <w:caps/>
              </w:rPr>
              <w:t> </w:t>
            </w:r>
          </w:p>
        </w:tc>
        <w:tc>
          <w:tcPr>
            <w:tcW w:w="2312" w:type="dxa"/>
            <w:tcBorders/>
            <w:vAlign w:val="center"/>
          </w:tcPr>
          <w:p>
            <w:pPr>
              <w:pStyle w:val="TableContents"/>
              <w:bidi w:val="0"/>
              <w:spacing w:before="0" w:after="283"/>
              <w:jc w:val="both"/>
              <w:rPr>
                <w:b/>
                <w:caps/>
                <w:sz w:val="20"/>
              </w:rPr>
            </w:pPr>
            <w:r>
              <w:rPr>
                <w:b/>
                <w:caps/>
                <w:sz w:val="20"/>
              </w:rPr>
              <w:t>C.</w:t>
            </w:r>
          </w:p>
        </w:tc>
        <w:tc>
          <w:tcPr>
            <w:tcW w:w="2276" w:type="dxa"/>
            <w:gridSpan w:val="2"/>
            <w:tcBorders/>
            <w:vAlign w:val="center"/>
          </w:tcPr>
          <w:p>
            <w:pPr>
              <w:pStyle w:val="TableContents"/>
              <w:bidi w:val="0"/>
              <w:spacing w:before="0" w:after="283"/>
              <w:jc w:val="both"/>
              <w:rPr>
                <w:b/>
                <w:caps/>
                <w:sz w:val="20"/>
              </w:rPr>
            </w:pPr>
            <w:r>
              <w:rPr>
                <w:b/>
                <w:caps/>
                <w:sz w:val="20"/>
              </w:rPr>
              <w:t>the Auditors</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24 – Wahl und Befugnisse</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b/>
                <w:sz w:val="20"/>
              </w:rPr>
            </w:pPr>
            <w:r>
              <w:rPr>
                <w:b/>
                <w:sz w:val="20"/>
              </w:rPr>
              <w:t>Article 24 – Election and Powers</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wählt jährlich ein staatlich beaufsichtigtes Revisionsunternehmen im Sinne des Revisionsaufsichtsgesetzes als Revisionsstelle für eine Amtsdauer bis zum Abschluss der nächsten ordentlichen Generalversammlung. Wiederwahl ist möglich.</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 annually elects a state-supervised auditing company within the meaning of the Audit Supervision Act as statutory auditors for a term of office of one year until completion of the next annual Meeting of Shareholders. Re-election is possible.</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Revisionsstelle hat die ihr gesetzlich zugewiesenen Pflichten und Befugnisse.</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auditors have the powers and duties assigned to them by law.</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2930"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IV.</w:t>
            </w:r>
          </w:p>
        </w:tc>
        <w:tc>
          <w:tcPr>
            <w:tcW w:w="2627"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Vergütung des Verwaltungsrats und der Geschäftsleitung</w:t>
            </w:r>
          </w:p>
        </w:tc>
        <w:tc>
          <w:tcPr>
            <w:tcW w:w="60" w:type="dxa"/>
            <w:tcBorders/>
            <w:vAlign w:val="center"/>
          </w:tcPr>
          <w:p>
            <w:pPr>
              <w:pStyle w:val="TableContents"/>
              <w:bidi w:val="0"/>
              <w:spacing w:before="0" w:after="283"/>
              <w:jc w:val="both"/>
              <w:rPr>
                <w:caps/>
              </w:rPr>
            </w:pPr>
            <w:r>
              <w:rPr>
                <w:caps/>
              </w:rPr>
              <w:t> </w:t>
            </w:r>
          </w:p>
        </w:tc>
        <w:tc>
          <w:tcPr>
            <w:tcW w:w="2312" w:type="dxa"/>
            <w:tcBorders/>
            <w:vAlign w:val="center"/>
          </w:tcPr>
          <w:p>
            <w:pPr>
              <w:pStyle w:val="TableContents"/>
              <w:bidi w:val="0"/>
              <w:spacing w:before="0" w:after="283"/>
              <w:jc w:val="both"/>
              <w:rPr>
                <w:b/>
                <w:caps/>
                <w:sz w:val="20"/>
              </w:rPr>
            </w:pPr>
            <w:r>
              <w:rPr>
                <w:b/>
                <w:caps/>
                <w:sz w:val="20"/>
              </w:rPr>
              <w:t>IV.</w:t>
            </w:r>
          </w:p>
        </w:tc>
        <w:tc>
          <w:tcPr>
            <w:tcW w:w="2276" w:type="dxa"/>
            <w:gridSpan w:val="2"/>
            <w:tcBorders/>
            <w:vAlign w:val="center"/>
          </w:tcPr>
          <w:p>
            <w:pPr>
              <w:pStyle w:val="TableContents"/>
              <w:bidi w:val="0"/>
              <w:spacing w:before="0" w:after="283"/>
              <w:jc w:val="both"/>
              <w:rPr>
                <w:b/>
                <w:caps/>
                <w:sz w:val="20"/>
              </w:rPr>
            </w:pPr>
            <w:r>
              <w:rPr>
                <w:b/>
                <w:caps/>
                <w:sz w:val="20"/>
              </w:rPr>
              <w:t>Compensation of the Board of Directors and the Executive Board</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25 – Allgemeine Grundsätze zu Abstimmung über Vergütungen</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b/>
                <w:sz w:val="20"/>
              </w:rPr>
            </w:pPr>
            <w:r>
              <w:rPr>
                <w:b/>
                <w:sz w:val="20"/>
              </w:rPr>
              <w:t xml:space="preserve">Article 25 – General Principles of Resolutions on Compensations </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stimmt jährlich gesondert über die vom Verwaltungsrat unterbreiteten maximalen Gesamtbeträge der Vergütung der Mitglieder des Verwaltungsrats, der Geschäftsleitung und des Beirats für die folgende Amtsperiode beziehungsweise das folgende Geschäftsjahr ab.</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annual basis, the Meeting of Shareholders shall resolve separately the maximum aggregate amount of compensation for the members of the Board of Directors, the Executive Board and the advisory board for the following term of office or the financial year, respectively, based on the proposal of the Board of Directors.</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Abstimmung der Generalversammlung hat bindende Wirkung.</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 of the Meeting of Shareholders is binding.</w:t>
            </w:r>
          </w:p>
        </w:tc>
      </w:tr>
      <w:tr>
        <w:trPr/>
        <w:tc>
          <w:tcPr>
            <w:tcW w:w="555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283"/>
              <w:jc w:val="both"/>
              <w:rPr/>
            </w:pPr>
            <w:r>
              <w:rPr/>
              <w:t> </w:t>
            </w:r>
          </w:p>
        </w:tc>
      </w:tr>
      <w:tr>
        <w:trPr/>
        <w:tc>
          <w:tcPr>
            <w:tcW w:w="555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Lehnt die Generalversammlung einen Antrag des Verwaltungsrates ab, setzt der Verwaltungsrat den entsprechenden (maximalen) Gesamtbetrag oder (maximale) Teilbeträge unter Berücksichtigung aller relevanten Faktoren neu fest und unterbreitet den oder die so festgesetzten Beträge derselben Generalversammlung, einer nachfolgenden ausserordentlichen Generalversammlung oder der nächsten ordentlichen Generalversammlung zur Abstimmung vor.</w:t>
            </w:r>
          </w:p>
        </w:tc>
        <w:tc>
          <w:tcPr>
            <w:tcW w:w="60" w:type="dxa"/>
            <w:tcBorders/>
            <w:vAlign w:val="center"/>
          </w:tcPr>
          <w:p>
            <w:pPr>
              <w:pStyle w:val="TableContents"/>
              <w:bidi w:val="0"/>
              <w:spacing w:before="0" w:after="283"/>
              <w:jc w:val="both"/>
              <w:rPr/>
            </w:pPr>
            <w:r>
              <w:rPr/>
              <w:t> </w:t>
            </w:r>
          </w:p>
        </w:tc>
        <w:tc>
          <w:tcPr>
            <w:tcW w:w="458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Meeting of Shareholders does not approve a proposal of the Board of Directors, the Board of Directors shall reevaluate, taking into account all relevant factors, the respective (maximum) aggregate amount or partial (maximum) amounts, and submit the amount(s) so determined for approval by the same Meeting of Shareholders, a subsequent extraordinary Meeting of Shareholder or the next annual Meeting of Shareholders.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0"/>
        <w:gridCol w:w="1677"/>
        <w:gridCol w:w="1679"/>
        <w:gridCol w:w="60"/>
        <w:gridCol w:w="1566"/>
        <w:gridCol w:w="1381"/>
        <w:gridCol w:w="1732"/>
      </w:tblGrid>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Wird prospektiv über variable Vergütungen abgestimmt, so muss der Generalversammlung der Vergütungsbericht zur Konsultativabstimmung vorgelegt werden.</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variable compensation is voted on prospectively, the compensation report must be submitted to the Meeting of Shareholders for an advisory vote.</w:t>
            </w:r>
          </w:p>
        </w:tc>
      </w:tr>
      <w:tr>
        <w:trPr/>
        <w:tc>
          <w:tcPr>
            <w:tcW w:w="2110" w:type="dxa"/>
            <w:tcBorders/>
            <w:vAlign w:val="center"/>
          </w:tcPr>
          <w:p>
            <w:pPr>
              <w:pStyle w:val="TableContents"/>
              <w:bidi w:val="0"/>
              <w:spacing w:before="0" w:after="283"/>
              <w:jc w:val="both"/>
              <w:rPr/>
            </w:pPr>
            <w:r>
              <w:rPr/>
              <w:t> </w:t>
            </w:r>
          </w:p>
        </w:tc>
        <w:tc>
          <w:tcPr>
            <w:tcW w:w="1677" w:type="dxa"/>
            <w:tcBorders/>
            <w:vAlign w:val="center"/>
          </w:tcPr>
          <w:p>
            <w:pPr>
              <w:pStyle w:val="TableContents"/>
              <w:bidi w:val="0"/>
              <w:spacing w:before="0" w:after="283"/>
              <w:jc w:val="both"/>
              <w:rPr/>
            </w:pPr>
            <w:r>
              <w:rPr/>
              <w:t> </w:t>
            </w:r>
          </w:p>
        </w:tc>
        <w:tc>
          <w:tcPr>
            <w:tcW w:w="167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566" w:type="dxa"/>
            <w:tcBorders/>
            <w:vAlign w:val="center"/>
          </w:tcPr>
          <w:p>
            <w:pPr>
              <w:pStyle w:val="TableContents"/>
              <w:bidi w:val="0"/>
              <w:spacing w:before="0" w:after="283"/>
              <w:jc w:val="both"/>
              <w:rPr/>
            </w:pPr>
            <w:r>
              <w:rPr/>
              <w:t> </w:t>
            </w:r>
          </w:p>
        </w:tc>
        <w:tc>
          <w:tcPr>
            <w:tcW w:w="1381" w:type="dxa"/>
            <w:tcBorders/>
            <w:vAlign w:val="center"/>
          </w:tcPr>
          <w:p>
            <w:pPr>
              <w:pStyle w:val="TableContents"/>
              <w:bidi w:val="0"/>
              <w:spacing w:before="0" w:after="283"/>
              <w:jc w:val="both"/>
              <w:rPr/>
            </w:pPr>
            <w:r>
              <w:rPr/>
              <w:t> </w:t>
            </w:r>
          </w:p>
        </w:tc>
        <w:tc>
          <w:tcPr>
            <w:tcW w:w="1732" w:type="dxa"/>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oder von ihr kontrollierte Gesellschaften können Vergütungen vor der Genehmigung durch die Generalversammlung unter Vorbehalt der nachträglichen Genehmigung durch die Generalversammlung ausrichten.</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company controlled by it may pay any compensation prior to approval by the Meeting of Shareholders subject to subsequent approval by the Meeting of Shareholders.</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26 – Vergütungen für Mitglieder der Geschäftsleitung</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26 – Compensation for members of the Executive Management</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oder von ihr kontrolliere Gesellschaften sind ermächtigt, jedem Mitglied, das während einer von der Generalversammlung bereits genehmigten Vergütungsperiode in die Geschäftsleitung eintritt, während der Dauer der bereits genehmigten Vergütungsperiode(n) einen Zusatzbetrag auszurichten.</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company controlled by it shall be authorized to pay to any member of the Executive Board who becomes a member during a compensation period for which the Meeting of Shareholders has already approved the compensation of members of the Executive Board a supplementary amount during the compensation period(s) already approved.</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Zusatzbetrag darf [50]% der zuletzt von der Generalversammlung genehmigten Gesamtbeträge der fixen und variablen Vergütungen der Geschäftsleitung je Vergütungsperiode nicht übersteigen.</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supplementary amount shall not exceed 50% of the aggregate amounts of fixed and variable compensation of the Executive Board last approved by the Meeting of Shareholders per compensation period.</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Zusatzbetrag darf nur verwendet werden, wenn der von der Generalversammlung beschlossene Gesamtbetrag der Vergütungen der Geschäftsleitung bis zur nächsten Abstimmung der Generalversammlung nicht für die Vergütungen der neuen Mitglieder ausreicht.</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amount may only be used if the total amount of remuneration for the Executive Board agreed by the Meeting of Shareholders is not sufficient to remunerate the new members until the next vote of the Meeting of Shareholders.</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Generalversammlung stimmt nicht über den verwendeten Zusatzbetrag ab.</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of Shareholders does not vote on the additional amount used.</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27 – Allgemeine Vergütungsgrundsätze</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b/>
                <w:sz w:val="20"/>
              </w:rPr>
            </w:pPr>
            <w:r>
              <w:rPr>
                <w:b/>
                <w:sz w:val="20"/>
              </w:rPr>
              <w:t>Article 27– General Compensation Principles</w:t>
            </w:r>
          </w:p>
        </w:tc>
      </w:tr>
      <w:tr>
        <w:trPr/>
        <w:tc>
          <w:tcPr>
            <w:tcW w:w="5466"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 </w:t>
            </w:r>
          </w:p>
        </w:tc>
      </w:tr>
      <w:tr>
        <w:trPr/>
        <w:tc>
          <w:tcPr>
            <w:tcW w:w="5466" w:type="dxa"/>
            <w:gridSpan w:val="3"/>
            <w:tcBorders/>
            <w:vAlign w:val="center"/>
          </w:tcPr>
          <w:p>
            <w:pPr>
              <w:pStyle w:val="TableContents"/>
              <w:bidi w:val="0"/>
              <w:spacing w:before="0" w:after="283"/>
              <w:jc w:val="both"/>
              <w:rPr/>
            </w:pPr>
            <w:r>
              <w:rPr/>
              <w:t>Die Vergütung der Mitglieder des Verwaltungsrates umfasst grundsätzlich zusätzlich zu der fixen Grundentschädigung keine variable Vergütung. Zusätzlich zu einer fixen Vergütung kann den Mitgliedern der Geschäftsleitung eine variable Vergütung, die sich nach der Erreichung bestimmter Leistungsziele richtet, ausgerichtet werden.</w:t>
            </w:r>
          </w:p>
        </w:tc>
        <w:tc>
          <w:tcPr>
            <w:tcW w:w="60" w:type="dxa"/>
            <w:tcBorders/>
            <w:vAlign w:val="center"/>
          </w:tcPr>
          <w:p>
            <w:pPr>
              <w:pStyle w:val="TableContents"/>
              <w:bidi w:val="0"/>
              <w:spacing w:before="0" w:after="283"/>
              <w:jc w:val="both"/>
              <w:rPr/>
            </w:pPr>
            <w:r>
              <w:rPr/>
              <w:t> </w:t>
            </w:r>
          </w:p>
        </w:tc>
        <w:tc>
          <w:tcPr>
            <w:tcW w:w="4679" w:type="dxa"/>
            <w:gridSpan w:val="3"/>
            <w:tcBorders/>
            <w:vAlign w:val="center"/>
          </w:tcPr>
          <w:p>
            <w:pPr>
              <w:pStyle w:val="TableContents"/>
              <w:bidi w:val="0"/>
              <w:spacing w:before="0" w:after="283"/>
              <w:jc w:val="both"/>
              <w:rPr/>
            </w:pPr>
            <w:r>
              <w:rPr/>
              <w:t>The compensation of members of the Board of Directors shall not consist of any variable compensation, in addition to the fixed compensation. In addition to a fixed compensation, members of the Executive Board may be paid a variable compensation, depending on the achievement of certain performance criteria.</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618"/>
        <w:gridCol w:w="4771"/>
        <w:gridCol w:w="60"/>
        <w:gridCol w:w="67"/>
        <w:gridCol w:w="148"/>
        <w:gridCol w:w="4269"/>
      </w:tblGrid>
      <w:tr>
        <w:trPr/>
        <w:tc>
          <w:tcPr>
            <w:tcW w:w="566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Leistungsziele können persönliche Ziele, Ziele der Gesellschaft oder bereichsspezifische Ziele und im Vergleich zum Markt, anderen Unternehmen oder vergleichbaren Richtgrössen berechnete Ziele umfassen, unter Berücksichtigung von Funktion und Verantwortungsstufe des Empfängers der variablen Vergütung. Der Verwaltungsrat oder, soweit an ihn delegiert, der Vergütungsausschuss legen die Gewichtung der Leistungsziele und die jeweiligen Zielwerte fest.</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criteria may include individual targets, targets of the Company or parts thereof and targets in relation to the market, other companies or comparable benchmarks, taking into account position and level of responsibility of the recipient of the variable compensation. The Board of Directors or, where delegated to it, the compensation committee shall determine the relative weight of the performance criteria and the respective target values.</w:t>
            </w:r>
          </w:p>
        </w:tc>
      </w:tr>
      <w:tr>
        <w:trPr/>
        <w:tc>
          <w:tcPr>
            <w:tcW w:w="272" w:type="dxa"/>
            <w:tcBorders/>
            <w:vAlign w:val="center"/>
          </w:tcPr>
          <w:p>
            <w:pPr>
              <w:pStyle w:val="TableContents"/>
              <w:bidi w:val="0"/>
              <w:spacing w:before="0" w:after="283"/>
              <w:jc w:val="both"/>
              <w:rPr/>
            </w:pPr>
            <w:r>
              <w:rPr/>
              <w:t> </w:t>
            </w:r>
          </w:p>
        </w:tc>
        <w:tc>
          <w:tcPr>
            <w:tcW w:w="618" w:type="dxa"/>
            <w:tcBorders/>
            <w:vAlign w:val="center"/>
          </w:tcPr>
          <w:p>
            <w:pPr>
              <w:pStyle w:val="TableContents"/>
              <w:bidi w:val="0"/>
              <w:spacing w:before="0" w:after="283"/>
              <w:jc w:val="both"/>
              <w:rPr/>
            </w:pPr>
            <w:r>
              <w:rPr/>
              <w:t> </w:t>
            </w:r>
          </w:p>
        </w:tc>
        <w:tc>
          <w:tcPr>
            <w:tcW w:w="47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pPr>
            <w:r>
              <w:rPr/>
              <w:t> </w:t>
            </w:r>
          </w:p>
        </w:tc>
        <w:tc>
          <w:tcPr>
            <w:tcW w:w="4269" w:type="dxa"/>
            <w:tcBorders/>
            <w:vAlign w:val="center"/>
          </w:tcPr>
          <w:p>
            <w:pPr>
              <w:pStyle w:val="TableContents"/>
              <w:bidi w:val="0"/>
              <w:spacing w:before="0" w:after="283"/>
              <w:jc w:val="both"/>
              <w:rPr/>
            </w:pPr>
            <w:r>
              <w:rPr/>
              <w:t> </w:t>
            </w:r>
          </w:p>
        </w:tc>
      </w:tr>
      <w:tr>
        <w:trPr/>
        <w:tc>
          <w:tcPr>
            <w:tcW w:w="566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Vergütung von Mitgliedern des Verwaltungsrates erfolgt grundsätzlich in Geld und/oder Aktien. Die Vergütung von Mitgliedern der Geschäftsleitung kann in Form von Geld, Aktien, Finanzinstrumenten oder Sach- oder Dienstleistung ausgerichtet werden. Der Verwaltungsrat oder, soweit an ihn delegiert, der Vergütungsausschuss legen Zuteilungs-, Ausübungs-, und Verfallsbedingungen sowie Wartefristen fest. Sie können vorsehen, dass aufgrund des Eintritts im Voraus bestimmter Ereignisse wie einem Kontrollwechsel oder der Beendigung eines Arbeits- oder Mandatsverhältnisses Wartefristen oder Ausübungsbedingungen weitergelten, verkürzt oder aufgehoben werden, Vergütungen unter Annahme der Erreichung der Zielwerte ausgerichtet werden oder Vergütungen verfallen.</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members of the Board of Directors shall generally be paid or granted in the form of cash and/or shares. The compensation of members of the Executive Board may be paid or granted in the form of cash, shares, financial instruments, in kind, or in the form of other types of benefits. The Board of Directors or, where delegated to it, the compensation committee shall determine grant, vesting, exercise and forfeiture conditions; they may provide for continuation, acceleration, or removal of vesting and exercise conditions, for payment or grant of compensation assuming target achievement or for forfeiture in the event of pre-determined events such as a change of control or termination of an employment or mandate agreement.</w:t>
            </w:r>
          </w:p>
        </w:tc>
      </w:tr>
      <w:tr>
        <w:trPr/>
        <w:tc>
          <w:tcPr>
            <w:tcW w:w="566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pPr>
            <w:r>
              <w:rPr/>
              <w:t> </w:t>
            </w:r>
          </w:p>
        </w:tc>
      </w:tr>
      <w:tr>
        <w:trPr/>
        <w:tc>
          <w:tcPr>
            <w:tcW w:w="5661" w:type="dxa"/>
            <w:gridSpan w:val="3"/>
            <w:tcBorders/>
            <w:vAlign w:val="center"/>
          </w:tcPr>
          <w:p>
            <w:pPr>
              <w:pStyle w:val="TableContents"/>
              <w:bidi w:val="0"/>
              <w:spacing w:before="0" w:after="283"/>
              <w:jc w:val="both"/>
              <w:rPr>
                <w:sz w:val="20"/>
              </w:rPr>
            </w:pPr>
            <w:r>
              <w:rPr>
                <w:sz w:val="20"/>
              </w:rPr>
              <w:t>Der Verwaltungsrat oder der Vergütungsausschuss kann im Rahmen eines Aktienbeteiligungsprogramms sowie eines hierzu von ihm erlassenen Reglements über die Zuteilung von Optionsrechten oder andere aktienbasierte Vergütungen an Mitglieder des Verwaltungsrates und der Geschäftsleitung grundsätzlich nach freiem Ermessen entscheiden.</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sz w:val="20"/>
              </w:rPr>
            </w:pPr>
            <w:r>
              <w:rPr>
                <w:sz w:val="20"/>
              </w:rPr>
              <w:t>The Board of Directors or the compensation committee may, based on a stock participation plan and based on the regulations issued by it, for this purpose determine at its own discretion to grant option rights or other share based compensations to members of the Board of Directors or the Executive Board.</w:t>
            </w:r>
          </w:p>
        </w:tc>
      </w:tr>
      <w:tr>
        <w:trPr/>
        <w:tc>
          <w:tcPr>
            <w:tcW w:w="566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pPr>
            <w:r>
              <w:rPr/>
              <w:t> </w:t>
            </w:r>
          </w:p>
        </w:tc>
      </w:tr>
      <w:tr>
        <w:trPr/>
        <w:tc>
          <w:tcPr>
            <w:tcW w:w="5661" w:type="dxa"/>
            <w:gridSpan w:val="3"/>
            <w:tcBorders/>
            <w:vAlign w:val="center"/>
          </w:tcPr>
          <w:p>
            <w:pPr>
              <w:pStyle w:val="TableContents"/>
              <w:bidi w:val="0"/>
              <w:spacing w:before="0" w:after="283"/>
              <w:jc w:val="both"/>
              <w:rPr>
                <w:sz w:val="20"/>
              </w:rPr>
            </w:pPr>
            <w:r>
              <w:rPr>
                <w:sz w:val="20"/>
              </w:rPr>
              <w:t>Zuteilungen erfolgen individuell und ohne irgendwelche Ansprüche der Empfänger auf wiederkehrende Leistung zu begründen. Sie haben im Rahmen folgender Vorgaben zu erfolgen:</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sz w:val="20"/>
              </w:rPr>
            </w:pPr>
            <w:r>
              <w:rPr>
                <w:sz w:val="20"/>
              </w:rPr>
              <w:t>Grants are made individually and do not constitute any claim whatsoever by beneficiaries for recurring awards. They shall be made pursuant to the following principles:</w:t>
            </w:r>
          </w:p>
        </w:tc>
      </w:tr>
      <w:tr>
        <w:trPr/>
        <w:tc>
          <w:tcPr>
            <w:tcW w:w="566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pPr>
            <w:r>
              <w:rPr/>
              <w:t> </w:t>
            </w:r>
          </w:p>
        </w:tc>
      </w:tr>
      <w:tr>
        <w:trPr/>
        <w:tc>
          <w:tcPr>
            <w:tcW w:w="272"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1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Zuteilungen sind ausschliesslich möglich an Mitglieder des Verwaltungsrates, welche noch im Amt sind, oder an Mitglieder der Geschäftsleitung in ungekündigtem Arbeitsverhältnis und nach Ablauf der Probezeit;</w:t>
            </w:r>
          </w:p>
        </w:tc>
        <w:tc>
          <w:tcPr>
            <w:tcW w:w="60" w:type="dxa"/>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sz w:val="20"/>
              </w:rPr>
            </w:pPr>
            <w:r>
              <w:rPr>
                <w:sz w:val="20"/>
              </w:rPr>
              <w:t>1.</w:t>
            </w:r>
          </w:p>
        </w:tc>
        <w:tc>
          <w:tcPr>
            <w:tcW w:w="4269" w:type="dxa"/>
            <w:tcBorders/>
            <w:vAlign w:val="center"/>
          </w:tcPr>
          <w:p>
            <w:pPr>
              <w:pStyle w:val="TableContents"/>
              <w:bidi w:val="0"/>
              <w:spacing w:before="0" w:after="283"/>
              <w:jc w:val="both"/>
              <w:rPr>
                <w:sz w:val="20"/>
              </w:rPr>
            </w:pPr>
            <w:r>
              <w:rPr>
                <w:sz w:val="20"/>
              </w:rPr>
              <w:t>grants are awarded only to members of the Board of Directors whose term has not expired or to members of the Executive Board in a non-terminated employment agreement and after conclusion of the probation period;</w:t>
            </w:r>
          </w:p>
        </w:tc>
      </w:tr>
      <w:tr>
        <w:trPr/>
        <w:tc>
          <w:tcPr>
            <w:tcW w:w="566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pPr>
            <w:r>
              <w:rPr/>
              <w:t> </w:t>
            </w:r>
          </w:p>
        </w:tc>
      </w:tr>
      <w:tr>
        <w:trPr/>
        <w:tc>
          <w:tcPr>
            <w:tcW w:w="272" w:type="dxa"/>
            <w:tcBorders/>
            <w:vAlign w:val="center"/>
          </w:tcPr>
          <w:p>
            <w:pPr>
              <w:pStyle w:val="TableContents"/>
              <w:bidi w:val="0"/>
              <w:spacing w:before="0" w:after="283"/>
              <w:jc w:val="both"/>
              <w:rPr/>
            </w:pPr>
            <w:r>
              <w:rPr/>
              <w:t> </w:t>
            </w:r>
          </w:p>
        </w:tc>
        <w:tc>
          <w:tcPr>
            <w:tcW w:w="618" w:type="dxa"/>
            <w:tcBorders/>
            <w:vAlign w:val="center"/>
          </w:tcPr>
          <w:p>
            <w:pPr>
              <w:pStyle w:val="TableContents"/>
              <w:bidi w:val="0"/>
              <w:spacing w:before="0" w:after="283"/>
              <w:jc w:val="both"/>
              <w:rPr>
                <w:sz w:val="20"/>
              </w:rPr>
            </w:pPr>
            <w:r>
              <w:rPr>
                <w:sz w:val="20"/>
              </w:rPr>
              <w:t>2.</w:t>
            </w:r>
          </w:p>
        </w:tc>
        <w:tc>
          <w:tcPr>
            <w:tcW w:w="4771" w:type="dxa"/>
            <w:tcBorders/>
            <w:vAlign w:val="center"/>
          </w:tcPr>
          <w:p>
            <w:pPr>
              <w:pStyle w:val="TableContents"/>
              <w:bidi w:val="0"/>
              <w:spacing w:before="0" w:after="283"/>
              <w:jc w:val="both"/>
              <w:rPr>
                <w:sz w:val="20"/>
              </w:rPr>
            </w:pPr>
            <w:r>
              <w:rPr>
                <w:sz w:val="20"/>
              </w:rPr>
              <w:t>der Ausgabepreis oder die Regeln zu seiner Bestimmung werden festgelegt, wobei Zuteilungen auch gratis erfolgen können;</w:t>
            </w:r>
          </w:p>
        </w:tc>
        <w:tc>
          <w:tcPr>
            <w:tcW w:w="60" w:type="dxa"/>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sz w:val="20"/>
              </w:rPr>
            </w:pPr>
            <w:r>
              <w:rPr>
                <w:sz w:val="20"/>
              </w:rPr>
              <w:t>2.</w:t>
            </w:r>
          </w:p>
        </w:tc>
        <w:tc>
          <w:tcPr>
            <w:tcW w:w="4269" w:type="dxa"/>
            <w:tcBorders/>
            <w:vAlign w:val="center"/>
          </w:tcPr>
          <w:p>
            <w:pPr>
              <w:pStyle w:val="TableContents"/>
              <w:bidi w:val="0"/>
              <w:spacing w:before="0" w:after="283"/>
              <w:jc w:val="both"/>
              <w:rPr>
                <w:sz w:val="20"/>
              </w:rPr>
            </w:pPr>
            <w:r>
              <w:rPr>
                <w:sz w:val="20"/>
              </w:rPr>
              <w:t>the issue price or the principles for the determination of the issue price shall be set out, whereby grants may be made free of charge;</w:t>
            </w:r>
          </w:p>
        </w:tc>
      </w:tr>
      <w:tr>
        <w:trPr/>
        <w:tc>
          <w:tcPr>
            <w:tcW w:w="5661"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84" w:type="dxa"/>
            <w:gridSpan w:val="3"/>
            <w:tcBorders/>
            <w:vAlign w:val="center"/>
          </w:tcPr>
          <w:p>
            <w:pPr>
              <w:pStyle w:val="TableContents"/>
              <w:bidi w:val="0"/>
              <w:spacing w:before="0" w:after="283"/>
              <w:jc w:val="both"/>
              <w:rPr/>
            </w:pPr>
            <w:r>
              <w:rPr/>
              <w:t> </w:t>
            </w:r>
          </w:p>
        </w:tc>
      </w:tr>
      <w:tr>
        <w:trPr/>
        <w:tc>
          <w:tcPr>
            <w:tcW w:w="272" w:type="dxa"/>
            <w:tcBorders/>
            <w:vAlign w:val="center"/>
          </w:tcPr>
          <w:p>
            <w:pPr>
              <w:pStyle w:val="TableContents"/>
              <w:bidi w:val="0"/>
              <w:spacing w:before="0" w:after="283"/>
              <w:jc w:val="both"/>
              <w:rPr/>
            </w:pPr>
            <w:r>
              <w:rPr/>
              <w:t> </w:t>
            </w:r>
          </w:p>
        </w:tc>
        <w:tc>
          <w:tcPr>
            <w:tcW w:w="618" w:type="dxa"/>
            <w:tcBorders/>
            <w:vAlign w:val="center"/>
          </w:tcPr>
          <w:p>
            <w:pPr>
              <w:pStyle w:val="TableContents"/>
              <w:bidi w:val="0"/>
              <w:spacing w:before="0" w:after="283"/>
              <w:jc w:val="both"/>
              <w:rPr>
                <w:sz w:val="20"/>
              </w:rPr>
            </w:pPr>
            <w:r>
              <w:rPr>
                <w:sz w:val="20"/>
              </w:rPr>
              <w:t>3.</w:t>
            </w:r>
          </w:p>
        </w:tc>
        <w:tc>
          <w:tcPr>
            <w:tcW w:w="4771" w:type="dxa"/>
            <w:tcBorders/>
            <w:vAlign w:val="center"/>
          </w:tcPr>
          <w:p>
            <w:pPr>
              <w:pStyle w:val="TableContents"/>
              <w:bidi w:val="0"/>
              <w:spacing w:before="0" w:after="283"/>
              <w:jc w:val="both"/>
              <w:rPr>
                <w:sz w:val="20"/>
              </w:rPr>
            </w:pPr>
            <w:r>
              <w:rPr>
                <w:sz w:val="20"/>
              </w:rPr>
              <w:t>der Ausübungspreis entspricht mindestens dem Nennwert der zugrundeliegenden Aktien;</w:t>
            </w:r>
          </w:p>
        </w:tc>
        <w:tc>
          <w:tcPr>
            <w:tcW w:w="60" w:type="dxa"/>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both"/>
              <w:rPr/>
            </w:pPr>
            <w:r>
              <w:rPr/>
              <w:t> </w:t>
            </w:r>
          </w:p>
        </w:tc>
        <w:tc>
          <w:tcPr>
            <w:tcW w:w="148" w:type="dxa"/>
            <w:tcBorders/>
            <w:vAlign w:val="center"/>
          </w:tcPr>
          <w:p>
            <w:pPr>
              <w:pStyle w:val="TableContents"/>
              <w:bidi w:val="0"/>
              <w:spacing w:before="0" w:after="283"/>
              <w:jc w:val="both"/>
              <w:rPr>
                <w:sz w:val="20"/>
              </w:rPr>
            </w:pPr>
            <w:r>
              <w:rPr>
                <w:sz w:val="20"/>
              </w:rPr>
              <w:t>3.</w:t>
            </w:r>
          </w:p>
        </w:tc>
        <w:tc>
          <w:tcPr>
            <w:tcW w:w="4269" w:type="dxa"/>
            <w:tcBorders/>
            <w:vAlign w:val="center"/>
          </w:tcPr>
          <w:p>
            <w:pPr>
              <w:pStyle w:val="TableContents"/>
              <w:bidi w:val="0"/>
              <w:spacing w:before="0" w:after="283"/>
              <w:jc w:val="both"/>
              <w:rPr>
                <w:sz w:val="20"/>
              </w:rPr>
            </w:pPr>
            <w:r>
              <w:rPr>
                <w:sz w:val="20"/>
              </w:rPr>
              <w:t>the exercise price shall at least be equal to the nominal value of underlying shares;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
        <w:gridCol w:w="196"/>
        <w:gridCol w:w="5285"/>
        <w:gridCol w:w="60"/>
        <w:gridCol w:w="69"/>
        <w:gridCol w:w="156"/>
        <w:gridCol w:w="4353"/>
      </w:tblGrid>
      <w:tr>
        <w:trPr/>
        <w:tc>
          <w:tcPr>
            <w:tcW w:w="86" w:type="dxa"/>
            <w:tcBorders/>
            <w:vAlign w:val="center"/>
          </w:tcPr>
          <w:p>
            <w:pPr>
              <w:pStyle w:val="TableContents"/>
              <w:bidi w:val="0"/>
              <w:spacing w:before="0" w:after="283"/>
              <w:jc w:val="both"/>
              <w:rPr/>
            </w:pPr>
            <w:r>
              <w:rPr/>
              <w:t> </w:t>
            </w:r>
          </w:p>
        </w:tc>
        <w:tc>
          <w:tcPr>
            <w:tcW w:w="196" w:type="dxa"/>
            <w:tcBorders/>
            <w:vAlign w:val="center"/>
          </w:tcPr>
          <w:p>
            <w:pPr>
              <w:pStyle w:val="TableContents"/>
              <w:bidi w:val="0"/>
              <w:spacing w:before="0" w:after="283"/>
              <w:jc w:val="both"/>
              <w:rPr>
                <w:sz w:val="20"/>
              </w:rPr>
            </w:pPr>
            <w:r>
              <w:rPr>
                <w:sz w:val="20"/>
              </w:rPr>
              <w:t>4.</w:t>
            </w:r>
          </w:p>
        </w:tc>
        <w:tc>
          <w:tcPr>
            <w:tcW w:w="5285" w:type="dxa"/>
            <w:tcBorders/>
            <w:vAlign w:val="center"/>
          </w:tcPr>
          <w:p>
            <w:pPr>
              <w:pStyle w:val="TableContents"/>
              <w:bidi w:val="0"/>
              <w:spacing w:before="0" w:after="283"/>
              <w:jc w:val="both"/>
              <w:rPr>
                <w:sz w:val="20"/>
              </w:rPr>
            </w:pPr>
            <w:r>
              <w:rPr>
                <w:sz w:val="20"/>
              </w:rPr>
              <w:t>nach Ablauf der Wartefrist können Optionsrechte bis längstens 10 Jahre ab Zuteilung ausgeübt werden; nicht ausgeübte Optionsrechte verfallen ersatzlos.</w:t>
            </w:r>
          </w:p>
        </w:tc>
        <w:tc>
          <w:tcPr>
            <w:tcW w:w="60" w:type="dxa"/>
            <w:tcBorders/>
            <w:vAlign w:val="center"/>
          </w:tcPr>
          <w:p>
            <w:pPr>
              <w:pStyle w:val="TableContents"/>
              <w:bidi w:val="0"/>
              <w:spacing w:before="0" w:after="283"/>
              <w:jc w:val="both"/>
              <w:rPr/>
            </w:pPr>
            <w:r>
              <w:rPr/>
              <w:t> </w:t>
            </w:r>
          </w:p>
        </w:tc>
        <w:tc>
          <w:tcPr>
            <w:tcW w:w="69"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sz w:val="20"/>
              </w:rPr>
            </w:pPr>
            <w:r>
              <w:rPr>
                <w:sz w:val="20"/>
              </w:rPr>
              <w:t>4.</w:t>
            </w:r>
          </w:p>
        </w:tc>
        <w:tc>
          <w:tcPr>
            <w:tcW w:w="4353" w:type="dxa"/>
            <w:tcBorders/>
            <w:vAlign w:val="center"/>
          </w:tcPr>
          <w:p>
            <w:pPr>
              <w:pStyle w:val="TableContents"/>
              <w:bidi w:val="0"/>
              <w:spacing w:before="0" w:after="283"/>
              <w:jc w:val="both"/>
              <w:rPr>
                <w:sz w:val="20"/>
              </w:rPr>
            </w:pPr>
            <w:r>
              <w:rPr>
                <w:sz w:val="20"/>
              </w:rPr>
              <w:t>vested option rights shall be exercised within a maximum of 10 years after the grant date; unexercised option rights shall lapse without compensation.</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oder der Vergütungsausschuss bestimmt die Bedingungen und Voraussetzungen, einschliesslich einer allfälligen Beschleunigung, Verkürzung oder Aufhebung der Sperrfrist im Fall bestimmter Ereignisse wie einem Kontrollwechsel sowie allfällige Rückforderungsmechanismen.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the compensation committee shall determine more detailed term and requirements, including any acceleration, curtailing or waiving of the vesting period in specific circumstances such as change of control, as well as any claw-back provisions.</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Vergütung kann durch die Gesellschaft oder durch die von ihr kontrollierten Gesellschaften ausgerichtet werden.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may be paid by the Company or companies controlled by it.</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283"/>
              <w:jc w:val="both"/>
              <w:rPr>
                <w:b/>
                <w:sz w:val="20"/>
              </w:rPr>
            </w:pPr>
            <w:r>
              <w:rPr>
                <w:b/>
                <w:sz w:val="20"/>
              </w:rPr>
              <w:t>Artikel 28 – Verträge über die Vergütungen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28 – Agreements regarding Compensations</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oder von ihr kontrollierte Gesellschaften können mit Mitgliedern des Verwaltungsrates unbefristete oder befristete Verträge über deren Vergütung abschliessen. Die Dauer der Verträge darf die Amtszeit nicht überschreiten Das Gleiche gilt für den Beirat.</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companies controlled by it may enter into agreements for a fixed term or for an indefinite term with the members of the Board of Directors relating to their compensation. The duration of the contracts may not exceed the term of office. The same applies to members of the advisory board.</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oder von ihr kontrollierte Gesellschaften können mit Mitgliedern der Geschäftsleitung unbefristete oder befristete Arbeitsverträge abschliessen. Befristete Arbeitsverträge haben eine Höchstdauer von einem Jahr. Eine Erneuerung ist zulässig. Unbefristete Arbeitsverträge haben eine Kündigungsfrist von maximal [12] Monaten.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companies controlled by it may enter into employment agreements with members of the Executive Board for a fixed term or for an indefinite term. Employment agreements for a fixed term may have a maximum duration of 1 year. Renewal is possible. Employment agreements for an indefinite term may have a termination notice period of not more than 12 months.</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283"/>
              <w:jc w:val="both"/>
              <w:rPr>
                <w:sz w:val="20"/>
              </w:rPr>
            </w:pPr>
            <w:r>
              <w:rPr>
                <w:sz w:val="20"/>
              </w:rPr>
              <w:t>Mitglieder der Geschäftsleitung, die einer Kündigungsfrist unterliegen, können von ihrer Arbeitspflicht befreit werden. Die Gesellschaft oder von ihr kontrollierte Gesellschaften können Aufhebungsvereinbarungen abschliessen.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sz w:val="20"/>
              </w:rPr>
            </w:pPr>
            <w:r>
              <w:rPr>
                <w:sz w:val="20"/>
              </w:rPr>
              <w:t>Members of Executive Board who are subject to a termination notice may be released from their obligation of work. The Company or companies controlled by it may enter into termination agreements.</w:t>
            </w:r>
          </w:p>
        </w:tc>
      </w:tr>
      <w:tr>
        <w:trPr/>
        <w:tc>
          <w:tcPr>
            <w:tcW w:w="5567"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283"/>
              <w:jc w:val="both"/>
              <w:rPr/>
            </w:pPr>
            <w:r>
              <w:rPr/>
              <w:t> </w:t>
            </w:r>
          </w:p>
        </w:tc>
      </w:tr>
      <w:tr>
        <w:trPr/>
        <w:tc>
          <w:tcPr>
            <w:tcW w:w="556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Gesellschaft oder von ihr kontrollierte Gesellschaften können Konkurrenzverbote für die Zeit nach Beendigung eines Arbeitsvertrags für eine Dauer von bis zu einem Jahr vereinbaren. Ein solches Konkurrenzverbot wird grundsätzlich nicht abgegolten. Im Abgeltungsfall darf die Entschädigung den Durchschnitt der Vergütungen der letzten drei Geschäftsjahre nicht übersteigen.</w:t>
            </w:r>
          </w:p>
        </w:tc>
        <w:tc>
          <w:tcPr>
            <w:tcW w:w="60" w:type="dxa"/>
            <w:tcBorders/>
            <w:vAlign w:val="center"/>
          </w:tcPr>
          <w:p>
            <w:pPr>
              <w:pStyle w:val="TableContents"/>
              <w:bidi w:val="0"/>
              <w:spacing w:before="0" w:after="283"/>
              <w:jc w:val="both"/>
              <w:rPr/>
            </w:pPr>
            <w:r>
              <w:rPr/>
              <w:t> </w:t>
            </w:r>
          </w:p>
        </w:tc>
        <w:tc>
          <w:tcPr>
            <w:tcW w:w="457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companies controlled by it may enter into non-compete agreements for the time after termination of the employment agreement for a duration of up to one year. Such non-compete agreement shall not be compensated in principle. In the event of a settlement, the compensation may not exceed the average of the compensation paid in the last three financial years.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135"/>
        <w:gridCol w:w="5132"/>
        <w:gridCol w:w="60"/>
        <w:gridCol w:w="277"/>
        <w:gridCol w:w="179"/>
        <w:gridCol w:w="4129"/>
      </w:tblGrid>
      <w:tr>
        <w:trPr/>
        <w:tc>
          <w:tcPr>
            <w:tcW w:w="5560" w:type="dxa"/>
            <w:gridSpan w:val="3"/>
            <w:tcBorders/>
            <w:vAlign w:val="center"/>
          </w:tcPr>
          <w:p>
            <w:pPr>
              <w:pStyle w:val="TableContents"/>
              <w:bidi w:val="0"/>
              <w:spacing w:before="0" w:after="283"/>
              <w:jc w:val="both"/>
              <w:rPr>
                <w:b/>
                <w:sz w:val="20"/>
              </w:rPr>
            </w:pPr>
            <w:r>
              <w:rPr>
                <w:b/>
                <w:sz w:val="20"/>
              </w:rPr>
              <w:t>Artikel 29 – Darlehen und Kredite</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b/>
                <w:sz w:val="20"/>
              </w:rPr>
            </w:pPr>
            <w:r>
              <w:rPr>
                <w:b/>
                <w:sz w:val="20"/>
              </w:rPr>
              <w:t>Article 29 – Loans and Credits</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Mitgliedern des Verwaltungsrates oder der Geschäftsleitung dürfen keine Darlehen, Kredite oder Sicherheiten gewährt werden.</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or of the Executive Board may not be granted any loans, credits or securities.</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w:t>
            </w:r>
          </w:p>
        </w:tc>
        <w:tc>
          <w:tcPr>
            <w:tcW w:w="5267"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Mandate ausserhalb der Gesellschaft</w:t>
            </w:r>
          </w:p>
        </w:tc>
        <w:tc>
          <w:tcPr>
            <w:tcW w:w="60" w:type="dxa"/>
            <w:tcBorders/>
            <w:vAlign w:val="center"/>
          </w:tcPr>
          <w:p>
            <w:pPr>
              <w:pStyle w:val="TableContents"/>
              <w:bidi w:val="0"/>
              <w:spacing w:before="0" w:after="283"/>
              <w:jc w:val="both"/>
              <w:rPr>
                <w:caps/>
              </w:rPr>
            </w:pPr>
            <w:r>
              <w:rPr>
                <w:caps/>
              </w:rPr>
              <w:t> </w:t>
            </w:r>
          </w:p>
        </w:tc>
        <w:tc>
          <w:tcPr>
            <w:tcW w:w="277"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w:t>
            </w:r>
          </w:p>
        </w:tc>
        <w:tc>
          <w:tcPr>
            <w:tcW w:w="4308"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Mandates outside the Company</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30 – Mandate ausserhalb der Gesellschaft</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30 – Mandates outside the Company</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Mitglieder des Verwaltungsrates dürfen nicht mehr als fünf zusätzliche Mandate in börsenkotierten Gesellschaften und fünf zusätzliche Mandate in nicht-börsenkotierten Gesellschaften wahrnehmen. Das gleiche gilt für den Beirat.</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sz w:val="20"/>
              </w:rPr>
            </w:pPr>
            <w:r>
              <w:rPr>
                <w:sz w:val="20"/>
              </w:rPr>
              <w:t>Members of the Board of Directors may not hold more than five additional mandates in listed companies and five additional mandates in non-listed companies. The same applies to the members of the advisory board.</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283"/>
              <w:jc w:val="both"/>
              <w:rPr>
                <w:sz w:val="20"/>
              </w:rPr>
            </w:pPr>
            <w:r>
              <w:rPr>
                <w:sz w:val="20"/>
              </w:rPr>
              <w:t>Mitglieder der Geschäftsleitung dürfen nicht mehr als drei zusätzliche Mandate in börsenkotierten Gesellschaften und fünf zusätzliche Mandate in nicht-börsenkotierten Gesellschaften wahrnehmen.</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sz w:val="20"/>
              </w:rPr>
            </w:pPr>
            <w:r>
              <w:rPr>
                <w:sz w:val="20"/>
              </w:rPr>
              <w:t>Members of the Executive Board may not hold more than three additional mandates in listed companies and five additional mandates in non-listed companies.</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283"/>
              <w:jc w:val="both"/>
              <w:rPr>
                <w:sz w:val="20"/>
              </w:rPr>
            </w:pPr>
            <w:r>
              <w:rPr>
                <w:sz w:val="20"/>
              </w:rPr>
              <w:t>Nicht unter diese Beschränkungen fallen Mandate:</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sz w:val="20"/>
              </w:rPr>
            </w:pPr>
            <w:r>
              <w:rPr>
                <w:sz w:val="20"/>
              </w:rPr>
              <w:t>The following mandates are not subject to these limitations:</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sz w:val="20"/>
              </w:rPr>
            </w:pPr>
            <w:r>
              <w:rPr>
                <w:sz w:val="20"/>
              </w:rPr>
              <w:t>1.</w:t>
            </w:r>
          </w:p>
        </w:tc>
        <w:tc>
          <w:tcPr>
            <w:tcW w:w="5132" w:type="dxa"/>
            <w:tcBorders/>
            <w:vAlign w:val="center"/>
          </w:tcPr>
          <w:p>
            <w:pPr>
              <w:pStyle w:val="TableContents"/>
              <w:bidi w:val="0"/>
              <w:spacing w:before="0" w:after="283"/>
              <w:jc w:val="both"/>
              <w:rPr>
                <w:sz w:val="20"/>
              </w:rPr>
            </w:pPr>
            <w:r>
              <w:rPr>
                <w:sz w:val="20"/>
              </w:rPr>
              <w:t>in Gesellschaften, welche zur selben Gruppe wie die Gesellschaft gehören;</w:t>
            </w:r>
          </w:p>
        </w:tc>
        <w:tc>
          <w:tcPr>
            <w:tcW w:w="60" w:type="dxa"/>
            <w:tcBorders/>
            <w:vAlign w:val="center"/>
          </w:tcPr>
          <w:p>
            <w:pPr>
              <w:pStyle w:val="TableContents"/>
              <w:bidi w:val="0"/>
              <w:spacing w:before="0" w:after="283"/>
              <w:jc w:val="both"/>
              <w:rPr/>
            </w:pPr>
            <w:r>
              <w:rPr/>
              <w:t> </w:t>
            </w:r>
          </w:p>
        </w:tc>
        <w:tc>
          <w:tcPr>
            <w:tcW w:w="277" w:type="dxa"/>
            <w:tcBorders/>
            <w:vAlign w:val="center"/>
          </w:tcPr>
          <w:p>
            <w:pPr>
              <w:pStyle w:val="TableContents"/>
              <w:bidi w:val="0"/>
              <w:spacing w:before="0" w:after="283"/>
              <w:jc w:val="both"/>
              <w:rPr/>
            </w:pPr>
            <w:r>
              <w:rPr/>
              <w:t> </w:t>
            </w:r>
          </w:p>
        </w:tc>
        <w:tc>
          <w:tcPr>
            <w:tcW w:w="179" w:type="dxa"/>
            <w:tcBorders/>
            <w:vAlign w:val="center"/>
          </w:tcPr>
          <w:p>
            <w:pPr>
              <w:pStyle w:val="TableContents"/>
              <w:bidi w:val="0"/>
              <w:spacing w:before="0" w:after="283"/>
              <w:jc w:val="both"/>
              <w:rPr>
                <w:sz w:val="20"/>
              </w:rPr>
            </w:pPr>
            <w:r>
              <w:rPr>
                <w:sz w:val="20"/>
              </w:rPr>
              <w:t>1.</w:t>
            </w:r>
          </w:p>
        </w:tc>
        <w:tc>
          <w:tcPr>
            <w:tcW w:w="4129" w:type="dxa"/>
            <w:tcBorders/>
            <w:vAlign w:val="center"/>
          </w:tcPr>
          <w:p>
            <w:pPr>
              <w:pStyle w:val="TableContents"/>
              <w:bidi w:val="0"/>
              <w:spacing w:before="0" w:after="283"/>
              <w:jc w:val="both"/>
              <w:rPr>
                <w:sz w:val="20"/>
              </w:rPr>
            </w:pPr>
            <w:r>
              <w:rPr>
                <w:sz w:val="20"/>
              </w:rPr>
              <w:t>in companies belonging to the same group as the Company;</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1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Vereinen, gemeinnützigen Organisationen, Stiftungen, Trusts sowie Personalfürsorgestiftungen; kein Mitglied des Verwaltungsrates oder der Geschäftsleitung darf mehr als fünf solche Mandate wahrnehmen.</w:t>
            </w:r>
          </w:p>
        </w:tc>
        <w:tc>
          <w:tcPr>
            <w:tcW w:w="60" w:type="dxa"/>
            <w:tcBorders/>
            <w:vAlign w:val="center"/>
          </w:tcPr>
          <w:p>
            <w:pPr>
              <w:pStyle w:val="TableContents"/>
              <w:bidi w:val="0"/>
              <w:spacing w:before="0" w:after="283"/>
              <w:jc w:val="both"/>
              <w:rPr/>
            </w:pPr>
            <w:r>
              <w:rPr/>
              <w:t> </w:t>
            </w:r>
          </w:p>
        </w:tc>
        <w:tc>
          <w:tcPr>
            <w:tcW w:w="277"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associations, charitable organizations, foundations, trusts, and employee welfare foundations; no member of the Board of Directors or the Executive Board may have more than five such mandates.</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293"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VI.</w:t>
            </w:r>
          </w:p>
        </w:tc>
        <w:tc>
          <w:tcPr>
            <w:tcW w:w="5267"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Rechnungsabschluss und Gewinnverteilung</w:t>
            </w:r>
          </w:p>
        </w:tc>
        <w:tc>
          <w:tcPr>
            <w:tcW w:w="60" w:type="dxa"/>
            <w:tcBorders/>
            <w:vAlign w:val="center"/>
          </w:tcPr>
          <w:p>
            <w:pPr>
              <w:pStyle w:val="TableContents"/>
              <w:bidi w:val="0"/>
              <w:spacing w:before="0" w:after="283"/>
              <w:jc w:val="both"/>
              <w:rPr>
                <w:caps/>
              </w:rPr>
            </w:pPr>
            <w:r>
              <w:rPr>
                <w:caps/>
              </w:rPr>
              <w:t> </w:t>
            </w:r>
          </w:p>
        </w:tc>
        <w:tc>
          <w:tcPr>
            <w:tcW w:w="277"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VI.</w:t>
            </w:r>
          </w:p>
        </w:tc>
        <w:tc>
          <w:tcPr>
            <w:tcW w:w="4308"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Closing of accounts and Distribution of profit</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31 – Geschäftsjahr und Rechnungslegung</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b/>
                <w:sz w:val="20"/>
              </w:rPr>
            </w:pPr>
            <w:r>
              <w:rPr>
                <w:b/>
                <w:sz w:val="20"/>
              </w:rPr>
              <w:t>Article 31 – Business Year and Financial Accounting</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283"/>
              <w:jc w:val="both"/>
              <w:rPr>
                <w:sz w:val="20"/>
              </w:rPr>
            </w:pPr>
            <w:r>
              <w:rPr>
                <w:sz w:val="20"/>
              </w:rPr>
              <w:t>Der Verwaltungsrat legt das Geschäftsjahr fest.</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determine the business year of the Company.</w:t>
            </w:r>
          </w:p>
        </w:tc>
      </w:tr>
      <w:tr>
        <w:trPr/>
        <w:tc>
          <w:tcPr>
            <w:tcW w:w="5560"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283"/>
              <w:jc w:val="both"/>
              <w:rPr/>
            </w:pPr>
            <w:r>
              <w:rPr/>
              <w:t> </w:t>
            </w:r>
          </w:p>
        </w:tc>
      </w:tr>
      <w:tr>
        <w:trPr/>
        <w:tc>
          <w:tcPr>
            <w:tcW w:w="5560"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Rechnungslegung erfolgt nach Massgabe der anwendbaren gesetzlichen Vorschriften und Rechnungslegungsstandards.</w:t>
            </w:r>
          </w:p>
        </w:tc>
        <w:tc>
          <w:tcPr>
            <w:tcW w:w="60" w:type="dxa"/>
            <w:tcBorders/>
            <w:vAlign w:val="center"/>
          </w:tcPr>
          <w:p>
            <w:pPr>
              <w:pStyle w:val="TableContents"/>
              <w:bidi w:val="0"/>
              <w:spacing w:before="0" w:after="283"/>
              <w:jc w:val="both"/>
              <w:rPr/>
            </w:pPr>
            <w:r>
              <w:rPr/>
              <w:t> </w:t>
            </w:r>
          </w:p>
        </w:tc>
        <w:tc>
          <w:tcPr>
            <w:tcW w:w="4585"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accounting shall be in accordance with applicable statutory law and accounting standards.</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1"/>
        <w:gridCol w:w="1831"/>
        <w:gridCol w:w="646"/>
        <w:gridCol w:w="60"/>
        <w:gridCol w:w="2470"/>
        <w:gridCol w:w="1425"/>
        <w:gridCol w:w="522"/>
      </w:tblGrid>
      <w:tr>
        <w:trPr/>
        <w:tc>
          <w:tcPr>
            <w:tcW w:w="5728" w:type="dxa"/>
            <w:gridSpan w:val="3"/>
            <w:tcBorders/>
            <w:vAlign w:val="center"/>
          </w:tcPr>
          <w:p>
            <w:pPr>
              <w:pStyle w:val="TableContents"/>
              <w:bidi w:val="0"/>
              <w:spacing w:before="0" w:after="283"/>
              <w:jc w:val="both"/>
              <w:rPr>
                <w:b/>
                <w:sz w:val="20"/>
              </w:rPr>
            </w:pPr>
            <w:r>
              <w:rPr>
                <w:b/>
                <w:sz w:val="20"/>
              </w:rPr>
              <w:t>Artikel 32 – Gewinnverwendung</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b/>
                <w:sz w:val="20"/>
              </w:rPr>
            </w:pPr>
            <w:r>
              <w:rPr>
                <w:b/>
                <w:sz w:val="20"/>
              </w:rPr>
              <w:t>Article 32 – Allocation of Profit</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Über die Verwendung des Bilanzgewinns beschliesst die Generalversammlung im Rahmen der gesetzlichen Bestimmungen (insbesondere Art. 671 ff. OR) nach freiem Ermessen.</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sz w:val="20"/>
              </w:rPr>
            </w:pPr>
            <w:r>
              <w:rPr>
                <w:sz w:val="20"/>
              </w:rPr>
              <w:t>The Meeting of Shareholders resolves on the allocation of the balance sheet profit at its sole discretion in accordance with statutory law (in particular art. 671 et seq. CO).</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33 – Auflösung und Liquidation</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33 – Dissolution and Liquidation</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283"/>
              <w:jc w:val="both"/>
              <w:rPr>
                <w:sz w:val="20"/>
              </w:rPr>
            </w:pPr>
            <w:r>
              <w:rPr>
                <w:sz w:val="20"/>
              </w:rPr>
              <w:t>Wird die Gesellschaft aufgelöst, so führt der Verwaltungsrat die Liquidation durch, sofern die Generalversammlung nicht etwas anderes beschliesst.</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dissolved, the Board of Directors carries out the liquidation, unless determined otherwise by the Meeting of Shareholders.</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3251" w:type="dxa"/>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VII.</w:t>
            </w:r>
          </w:p>
        </w:tc>
        <w:tc>
          <w:tcPr>
            <w:tcW w:w="2477"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BENACHRICHTIGUNG</w:t>
            </w:r>
          </w:p>
        </w:tc>
        <w:tc>
          <w:tcPr>
            <w:tcW w:w="60" w:type="dxa"/>
            <w:tcBorders/>
            <w:vAlign w:val="center"/>
          </w:tcPr>
          <w:p>
            <w:pPr>
              <w:pStyle w:val="TableContents"/>
              <w:bidi w:val="0"/>
              <w:spacing w:before="0" w:after="283"/>
              <w:jc w:val="both"/>
              <w:rPr>
                <w:caps/>
              </w:rPr>
            </w:pPr>
            <w:r>
              <w:rPr>
                <w:caps/>
              </w:rPr>
              <w:t> </w:t>
            </w:r>
          </w:p>
        </w:tc>
        <w:tc>
          <w:tcPr>
            <w:tcW w:w="2470" w:type="dxa"/>
            <w:tcBorders/>
            <w:vAlign w:val="center"/>
          </w:tcPr>
          <w:p>
            <w:pPr>
              <w:pStyle w:val="TableContents"/>
              <w:bidi w:val="0"/>
              <w:spacing w:before="0" w:after="283"/>
              <w:jc w:val="both"/>
              <w:rPr>
                <w:b/>
                <w:caps/>
                <w:sz w:val="20"/>
              </w:rPr>
            </w:pPr>
            <w:r>
              <w:rPr>
                <w:b/>
                <w:caps/>
                <w:sz w:val="20"/>
              </w:rPr>
              <w:t>VII.</w:t>
            </w:r>
          </w:p>
        </w:tc>
        <w:tc>
          <w:tcPr>
            <w:tcW w:w="1947" w:type="dxa"/>
            <w:gridSpan w:val="2"/>
            <w:tcBorders/>
            <w:vAlign w:val="center"/>
          </w:tcPr>
          <w:p>
            <w:pPr>
              <w:pStyle w:val="TableContents"/>
              <w:bidi w:val="0"/>
              <w:spacing w:before="0" w:after="283"/>
              <w:jc w:val="both"/>
              <w:rPr>
                <w:b/>
                <w:caps/>
                <w:sz w:val="20"/>
              </w:rPr>
            </w:pPr>
            <w:r>
              <w:rPr>
                <w:b/>
                <w:caps/>
                <w:sz w:val="20"/>
              </w:rPr>
              <w:t>notification</w:t>
            </w:r>
          </w:p>
        </w:tc>
      </w:tr>
      <w:tr>
        <w:trPr/>
        <w:tc>
          <w:tcPr>
            <w:tcW w:w="3251" w:type="dxa"/>
            <w:tcBorders/>
            <w:vAlign w:val="center"/>
          </w:tcPr>
          <w:p>
            <w:pPr>
              <w:pStyle w:val="TableContents"/>
              <w:bidi w:val="0"/>
              <w:spacing w:before="0" w:after="283"/>
              <w:jc w:val="both"/>
              <w:rPr/>
            </w:pPr>
            <w:r>
              <w:rPr/>
              <w:t> </w:t>
            </w:r>
          </w:p>
        </w:tc>
        <w:tc>
          <w:tcPr>
            <w:tcW w:w="1831" w:type="dxa"/>
            <w:tcBorders/>
            <w:vAlign w:val="center"/>
          </w:tcPr>
          <w:p>
            <w:pPr>
              <w:pStyle w:val="TableContents"/>
              <w:bidi w:val="0"/>
              <w:spacing w:before="0" w:after="283"/>
              <w:jc w:val="both"/>
              <w:rPr/>
            </w:pPr>
            <w:r>
              <w:rPr/>
              <w:t> </w:t>
            </w:r>
          </w:p>
        </w:tc>
        <w:tc>
          <w:tcPr>
            <w:tcW w:w="6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470" w:type="dxa"/>
            <w:tcBorders/>
            <w:vAlign w:val="center"/>
          </w:tcPr>
          <w:p>
            <w:pPr>
              <w:pStyle w:val="TableContents"/>
              <w:bidi w:val="0"/>
              <w:spacing w:before="0" w:after="283"/>
              <w:jc w:val="both"/>
              <w:rPr/>
            </w:pPr>
            <w:r>
              <w:rPr/>
              <w:t> </w:t>
            </w:r>
          </w:p>
        </w:tc>
        <w:tc>
          <w:tcPr>
            <w:tcW w:w="1425" w:type="dxa"/>
            <w:tcBorders/>
            <w:vAlign w:val="center"/>
          </w:tcPr>
          <w:p>
            <w:pPr>
              <w:pStyle w:val="TableContents"/>
              <w:bidi w:val="0"/>
              <w:spacing w:before="0" w:after="283"/>
              <w:jc w:val="both"/>
              <w:rPr/>
            </w:pPr>
            <w:r>
              <w:rPr/>
              <w:t> </w:t>
            </w:r>
          </w:p>
        </w:tc>
        <w:tc>
          <w:tcPr>
            <w:tcW w:w="522" w:type="dxa"/>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34 – Mitteilungen und Bekanntmachungen</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b/>
                <w:sz w:val="20"/>
              </w:rPr>
            </w:pPr>
            <w:r>
              <w:rPr>
                <w:b/>
                <w:sz w:val="20"/>
              </w:rPr>
              <w:t>Article 34 – Communications and Notifications</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Mitteilungen der Gesellschaft an die Aktionäre erfolgen per Brief oder E-Mail an die im Aktienbuch aufgeführten Adressen oder mittels Publikation im Schweizerischen Handelsamtsblatt (SHAB).</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Notifications by the Company to shareholders shall be made by letter or e-mail to the addresses entered in the share register or via publication in the Swiss Official Gazette of Commerce (SHAB).</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Publikationsorgan der Gesellschaft ist das Schweizerische Handelsamtsblatt (SHAB).</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Formal publications of the Company shall be made in the Swiss Official Gazette of Commerce (SHAB).</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283"/>
              <w:jc w:val="both"/>
              <w:rPr>
                <w:sz w:val="20"/>
              </w:rPr>
            </w:pPr>
            <w:r>
              <w:rPr>
                <w:sz w:val="20"/>
              </w:rPr>
              <w:t>Ausschliesslich die deutsche Fassung dieser Statuten ist rechtsverbindlich. Die englische Übersetzung dieser Statuten hat keinerlei Rechtswirkungen und kann nicht zur Auslegung des deutschen Textes herangezogen werden.</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sz w:val="20"/>
              </w:rPr>
            </w:pPr>
            <w:r>
              <w:rPr>
                <w:sz w:val="20"/>
              </w:rPr>
              <w:t>Solely the German version of these Articles of Association shall be legally binding. The English translation shall have no legal effects and may not be used for the interpretation of the German wording.</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283"/>
              <w:jc w:val="center"/>
              <w:rPr>
                <w:sz w:val="20"/>
              </w:rPr>
            </w:pPr>
            <w:r>
              <w:rPr>
                <w:sz w:val="20"/>
              </w:rPr>
              <w:t>* * * * *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center"/>
              <w:rPr>
                <w:sz w:val="20"/>
              </w:rPr>
            </w:pPr>
            <w:r>
              <w:rPr>
                <w:sz w:val="20"/>
              </w:rPr>
              <w:t>* * * * * *</w:t>
            </w:r>
          </w:p>
        </w:tc>
      </w:tr>
      <w:tr>
        <w:trPr/>
        <w:tc>
          <w:tcPr>
            <w:tcW w:w="572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center"/>
              <w:rPr/>
            </w:pPr>
            <w:r>
              <w:rPr/>
              <w:t> </w:t>
            </w:r>
          </w:p>
        </w:tc>
      </w:tr>
      <w:tr>
        <w:trPr/>
        <w:tc>
          <w:tcPr>
            <w:tcW w:w="5728"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pPr>
            <w:r>
              <w:rPr/>
              <w:t> </w:t>
            </w:r>
          </w:p>
        </w:tc>
      </w:tr>
      <w:tr>
        <w:trPr/>
        <w:tc>
          <w:tcPr>
            <w:tcW w:w="5728"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Zürich, 24. Juli 2026</w:t>
            </w:r>
          </w:p>
        </w:tc>
        <w:tc>
          <w:tcPr>
            <w:tcW w:w="60" w:type="dxa"/>
            <w:tcBorders/>
            <w:vAlign w:val="center"/>
          </w:tcPr>
          <w:p>
            <w:pPr>
              <w:pStyle w:val="TableContents"/>
              <w:bidi w:val="0"/>
              <w:spacing w:before="0" w:after="283"/>
              <w:jc w:val="both"/>
              <w:rPr/>
            </w:pPr>
            <w:r>
              <w:rPr/>
              <w:t> </w:t>
            </w:r>
          </w:p>
        </w:tc>
        <w:tc>
          <w:tcPr>
            <w:tcW w:w="4417" w:type="dxa"/>
            <w:gridSpan w:val="3"/>
            <w:tcBorders/>
            <w:vAlign w:val="center"/>
          </w:tcPr>
          <w:p>
            <w:pPr>
              <w:pStyle w:val="TableContents"/>
              <w:bidi w:val="0"/>
              <w:spacing w:before="0" w:after="283"/>
              <w:jc w:val="both"/>
              <w:rPr>
                <w:sz w:val="20"/>
              </w:rPr>
            </w:pPr>
            <w:r>
              <w:rPr>
                <w:sz w:val="20"/>
              </w:rPr>
              <w:t>Zurich, 24 July 2026</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jc w:val="left"/>
        <w:rPr>
          <w:caps w:val="false"/>
          <w:smallCaps w:val="false"/>
        </w:rPr>
      </w:pPr>
      <w:bookmarkStart w:id="6" w:name="veraxabiotechag_ex99-3.htm"/>
      <w:bookmarkStart w:id="7" w:name="ksveraxabiotechag_ex993"/>
      <w:bookmarkEnd w:id="6"/>
      <w:bookmarkEnd w:id="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Anzahl Aktien / Total shares:</w:t>
      </w:r>
    </w:p>
    <w:p>
      <w:pPr>
        <w:pStyle w:val="TextBody"/>
        <w:bidi w:val="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545"/>
        <w:gridCol w:w="770"/>
        <w:gridCol w:w="2645"/>
        <w:gridCol w:w="75"/>
      </w:tblGrid>
      <w:tr>
        <w:trPr/>
        <w:tc>
          <w:tcPr>
            <w:tcW w:w="545" w:type="dxa"/>
            <w:tcBorders/>
            <w:vAlign w:val="center"/>
          </w:tcPr>
          <w:p>
            <w:pPr>
              <w:pStyle w:val="TableContents"/>
              <w:bidi w:val="0"/>
              <w:spacing w:before="0" w:after="283"/>
              <w:ind w:left="0" w:right="0" w:hanging="0"/>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645"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A</w:t>
            </w:r>
            <w:r>
              <w:rPr>
                <w:rFonts w:ascii="Times New Roman;Times;Serif" w:hAnsi="Times New Roman;Times;Serif"/>
                <w:b/>
                <w:i w:val="false"/>
                <w:caps w:val="false"/>
                <w:smallCaps w:val="false"/>
                <w:sz w:val="20"/>
              </w:rPr>
              <w:t>-PRIORITY      </w:t>
            </w:r>
            <w:r>
              <w:rPr>
                <w:rFonts w:ascii="Times New Roman;Times;Serif" w:hAnsi="Times New Roman;Times;Serif"/>
                <w:b w:val="false"/>
                <w:i w:val="false"/>
                <w:caps w:val="false"/>
                <w:smallCaps w:val="false"/>
                <w:sz w:val="20"/>
              </w:rPr>
              <w:t>Post CH AG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Talacker 35</w:t>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top w:val="single" w:sz="8" w:space="0" w:color="000000"/>
              <w:left w:val="single" w:sz="8" w:space="0" w:color="000000"/>
              <w:bottom w:val="single" w:sz="8" w:space="0" w:color="000000"/>
            </w:tcBorders>
            <w:tcMar>
              <w:top w:w="60" w:type="dxa"/>
              <w:left w:w="6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P.P.</w:t>
            </w:r>
          </w:p>
        </w:tc>
        <w:tc>
          <w:tcPr>
            <w:tcW w:w="770" w:type="dxa"/>
            <w:tcBorders>
              <w:top w:val="single" w:sz="8" w:space="0" w:color="000000"/>
              <w:right w:val="single" w:sz="8" w:space="0" w:color="000000"/>
            </w:tcBorders>
            <w:tcMar>
              <w:top w:w="60" w:type="dxa"/>
              <w:righ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CH-8001</w:t>
            </w:r>
          </w:p>
        </w:tc>
        <w:tc>
          <w:tcPr>
            <w:tcW w:w="264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vMerge w:val="continue"/>
            <w:tcBorders>
              <w:top w:val="single" w:sz="8" w:space="0" w:color="000000"/>
              <w:left w:val="single" w:sz="8" w:space="0" w:color="000000"/>
              <w:bottom w:val="single" w:sz="8" w:space="0" w:color="000000"/>
            </w:tcBorders>
            <w:tcMar>
              <w:top w:w="60" w:type="dxa"/>
              <w:left w:w="60" w:type="dxa"/>
              <w:bottom w:w="28" w:type="dxa"/>
            </w:tcMar>
            <w:vAlign w:val="center"/>
          </w:tcPr>
          <w:p>
            <w:pPr>
              <w:pStyle w:val="Normal"/>
              <w:bidi w:val="0"/>
              <w:jc w:val="left"/>
              <w:rPr/>
            </w:pPr>
            <w:r>
              <w:rPr/>
            </w:r>
          </w:p>
        </w:tc>
        <w:tc>
          <w:tcPr>
            <w:tcW w:w="770"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Zürich</w:t>
            </w:r>
          </w:p>
        </w:tc>
        <w:tc>
          <w:tcPr>
            <w:tcW w:w="264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Anmeldung / </w:t>
      </w:r>
      <w:r>
        <w:rPr>
          <w:rFonts w:ascii="Times New Roman;Times;Serif" w:hAnsi="Times New Roman;Times;Serif"/>
          <w:b/>
          <w:i/>
          <w:caps w:val="false"/>
          <w:smallCaps w:val="false"/>
          <w:sz w:val="20"/>
        </w:rPr>
        <w:t>Registration</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für die ausserordentliche Generalversammlung der Veraxa Biotech AG vom 24. Juli 2026</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extraordinary general meeting of shareholders on Friday, 24 July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Ich nehme an der ausserordentlichen Generalversammlung persönlich teil und weise mich für die Zutrittskontrolle mit einem amtlichen Ausweis (Identitätskarte, Reisepass oder Führerschein) aus.</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will attend the extraordinary general meeting in person and identify myself at the admission control with an official ID document: identity card, passport, or driver’s license</w:t>
      </w:r>
    </w:p>
    <w:p>
      <w:pPr>
        <w:pStyle w:val="TextBody"/>
        <w:bidi w:val="0"/>
        <w:jc w:val="left"/>
        <w:rPr>
          <w:caps w:val="false"/>
          <w:smallCaps w:val="false"/>
        </w:rPr>
      </w:pPr>
      <w:r>
        <w:rPr>
          <w:caps w:val="false"/>
          <w:smallCaps w:val="false"/>
        </w:rPr>
        <w:t> </w:t>
      </w:r>
    </w:p>
    <w:p>
      <w:pPr>
        <w:pStyle w:val="TextBody"/>
        <w:bidi w:val="0"/>
        <w:spacing w:before="0" w:after="6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Ich erteile Vollmacht für meine Stimme an:</w:t>
      </w:r>
    </w:p>
    <w:p>
      <w:pPr>
        <w:pStyle w:val="TextBody"/>
        <w:bidi w:val="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grant power of attorney for my vote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unabhängige Stimmrechtsvertreterin, Maya McNally, McNally GmbH, Rechtsanwälte, Gartenstrasse 25, Postfach, 8027 Zürich, Schweiz</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independent voting rights representative, Maya McNally, McNally GmbH, Attorneys-at-Law, Gartenstrasse 25, P.O. Box, 8027 Zurich, Switzerland</w:t>
      </w:r>
    </w:p>
    <w:p>
      <w:pPr>
        <w:pStyle w:val="TextBody"/>
        <w:bidi w:val="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Wenn Sie keine Weisungen zu den in der Einladung bekannt gegebenen Anträgen und/oder keine allgemeine Weisung erteilen, wird die unabhängige Stimmrechtsvertreterin sich enthalten.</w:t>
      </w:r>
    </w:p>
    <w:p>
      <w:pPr>
        <w:pStyle w:val="TextBody"/>
        <w:bidi w:val="0"/>
        <w:spacing w:before="6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do not issue any instructions regarding the proposals announced in the invitation and/or do not issue any general instruction, the independent voting rights representative will abstain.</w:t>
      </w:r>
    </w:p>
    <w:p>
      <w:pPr>
        <w:pStyle w:val="TextBody"/>
        <w:bidi w:val="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Die </w:t>
      </w:r>
      <w:r>
        <w:rPr>
          <w:rFonts w:ascii="Times New Roman;Times;Serif" w:hAnsi="Times New Roman;Times;Serif"/>
          <w:b/>
          <w:i w:val="false"/>
          <w:caps w:val="false"/>
          <w:smallCaps w:val="false"/>
          <w:sz w:val="20"/>
        </w:rPr>
        <w:t>Vollmachtserteilung</w:t>
      </w:r>
      <w:r>
        <w:rPr>
          <w:rFonts w:ascii="Times New Roman;Times;Serif" w:hAnsi="Times New Roman;Times;Serif"/>
          <w:b w:val="false"/>
          <w:i w:val="false"/>
          <w:caps w:val="false"/>
          <w:smallCaps w:val="false"/>
          <w:sz w:val="20"/>
        </w:rPr>
        <w:t xml:space="preserve"> und </w:t>
      </w:r>
      <w:r>
        <w:rPr>
          <w:rFonts w:ascii="Times New Roman;Times;Serif" w:hAnsi="Times New Roman;Times;Serif"/>
          <w:b/>
          <w:i w:val="false"/>
          <w:caps w:val="false"/>
          <w:smallCaps w:val="false"/>
          <w:sz w:val="20"/>
        </w:rPr>
        <w:t>Weisungen</w:t>
      </w:r>
      <w:r>
        <w:rPr>
          <w:rFonts w:ascii="Times New Roman;Times;Serif" w:hAnsi="Times New Roman;Times;Serif"/>
          <w:b w:val="false"/>
          <w:i w:val="false"/>
          <w:caps w:val="false"/>
          <w:smallCaps w:val="false"/>
          <w:sz w:val="20"/>
        </w:rPr>
        <w:t xml:space="preserve"> an die unabhängige Stimmrechtsvertreterin können auch elektronisch über die Aktionärsplattform Aequitec erteilt werden. Melden Sie sich mit den Login-Informationen an. Nach der Anmeldung finden Sie alle Anträge und Begleitinformationen zur Generalversammlung unter dem Menüpunkt “Meetings”.</w:t>
      </w:r>
    </w:p>
    <w:p>
      <w:pPr>
        <w:pStyle w:val="TextBody"/>
        <w:bidi w:val="0"/>
        <w:spacing w:before="6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w:t>
      </w:r>
      <w:r>
        <w:rPr>
          <w:rFonts w:ascii="Times New Roman;Times;Serif" w:hAnsi="Times New Roman;Times;Serif"/>
          <w:b/>
          <w:i/>
          <w:caps w:val="false"/>
          <w:smallCaps w:val="false"/>
          <w:sz w:val="20"/>
        </w:rPr>
        <w:t>granting of power of attorney</w:t>
      </w:r>
      <w:r>
        <w:rPr>
          <w:rFonts w:ascii="Times New Roman;Times;Serif" w:hAnsi="Times New Roman;Times;Serif"/>
          <w:b w:val="false"/>
          <w:i/>
          <w:caps w:val="false"/>
          <w:smallCaps w:val="false"/>
          <w:sz w:val="20"/>
        </w:rPr>
        <w:t xml:space="preserve"> and </w:t>
      </w:r>
      <w:r>
        <w:rPr>
          <w:rFonts w:ascii="Times New Roman;Times;Serif" w:hAnsi="Times New Roman;Times;Serif"/>
          <w:b/>
          <w:i/>
          <w:caps w:val="false"/>
          <w:smallCaps w:val="false"/>
          <w:sz w:val="20"/>
        </w:rPr>
        <w:t>instructions</w:t>
      </w:r>
      <w:r>
        <w:rPr>
          <w:rFonts w:ascii="Times New Roman;Times;Serif" w:hAnsi="Times New Roman;Times;Serif"/>
          <w:b w:val="false"/>
          <w:i/>
          <w:caps w:val="false"/>
          <w:smallCaps w:val="false"/>
          <w:sz w:val="20"/>
        </w:rPr>
        <w:t xml:space="preserve"> to the independent voting rights representative may also be submitted electronically via the Aequitec shareholder platform. Log in using your login details. After logging in, you will find all proposals and accompanying information regarding the General Meeting under the menu item “Meetings”.</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014" w:type="dxa"/>
        <w:jc w:val="left"/>
        <w:tblInd w:w="-10" w:type="dxa"/>
        <w:tblLayout w:type="fixed"/>
        <w:tblCellMar>
          <w:top w:w="60" w:type="dxa"/>
          <w:left w:w="60" w:type="dxa"/>
          <w:bottom w:w="0" w:type="dxa"/>
          <w:right w:w="60" w:type="dxa"/>
        </w:tblCellMar>
      </w:tblPr>
      <w:tblGrid>
        <w:gridCol w:w="3143"/>
        <w:gridCol w:w="4871"/>
      </w:tblGrid>
      <w:tr>
        <w:trPr/>
        <w:tc>
          <w:tcPr>
            <w:tcW w:w="8014" w:type="dxa"/>
            <w:gridSpan w:val="2"/>
            <w:tcBorders>
              <w:top w:val="single" w:sz="8" w:space="0" w:color="000000"/>
              <w:left w:val="single" w:sz="8" w:space="0" w:color="000000"/>
              <w:right w:val="single" w:sz="8" w:space="0" w:color="000000"/>
            </w:tcBorders>
            <w:shd w:fill="F5F6F7"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Elektronische Vollmachtserteilung &amp; Weisung via Aktionärsplattform Aequitec:</w:t>
            </w:r>
          </w:p>
        </w:tc>
      </w:tr>
      <w:tr>
        <w:trPr/>
        <w:tc>
          <w:tcPr>
            <w:tcW w:w="8014" w:type="dxa"/>
            <w:gridSpan w:val="2"/>
            <w:tcBorders>
              <w:left w:val="single" w:sz="8" w:space="0" w:color="000000"/>
              <w:right w:val="single" w:sz="8" w:space="0" w:color="000000"/>
            </w:tcBorders>
            <w:shd w:fill="F5F6F7"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14" w:type="dxa"/>
            <w:gridSpan w:val="2"/>
            <w:tcBorders>
              <w:left w:val="single" w:sz="8" w:space="0" w:color="000000"/>
              <w:right w:val="single" w:sz="8" w:space="0" w:color="000000"/>
            </w:tcBorders>
            <w:shd w:fill="F5F6F7" w:val="clear"/>
            <w:tcMar>
              <w:top w:w="0" w:type="dxa"/>
            </w:tcMar>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Electronic granting of power of attorney and instructions via the Aequitec shareholder platform:</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app.aequitec.ch</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3" w:type="dxa"/>
            <w:tcBorders>
              <w:left w:val="single" w:sz="8" w:space="0" w:color="000000"/>
              <w:bottom w:val="single" w:sz="8" w:space="0" w:color="000000"/>
            </w:tcBorders>
            <w:shd w:fill="F5F6F7" w:val="clear"/>
            <w:tcMar>
              <w:top w:w="0" w:type="dxa"/>
              <w:bottom w:w="6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w:t>
            </w:r>
          </w:p>
        </w:tc>
        <w:tc>
          <w:tcPr>
            <w:tcW w:w="4871" w:type="dxa"/>
            <w:tcBorders>
              <w:bottom w:val="single" w:sz="8" w:space="0" w:color="000000"/>
              <w:right w:val="single" w:sz="8" w:space="0" w:color="000000"/>
            </w:tcBorders>
            <w:shd w:fill="F5F6F7" w:val="clear"/>
            <w:tcMar>
              <w:top w:w="0" w:type="dxa"/>
              <w:left w:w="0" w:type="dxa"/>
              <w:bottom w:w="6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folgende Person, die sich für die Zutrittskontrolle mit einem amtlichen Ausweis (Identitätskarte, Reisepass oder Führerschein) ausweist.</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person, who will identify themselves at the admission control with an official ID document: identity card, passport, or driver’s license.</w:t>
      </w:r>
    </w:p>
    <w:p>
      <w:pPr>
        <w:pStyle w:val="TextBody"/>
        <w:bidi w:val="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05"/>
        <w:gridCol w:w="60"/>
        <w:gridCol w:w="7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und Vorname: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Last name, first name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3770"/>
        <w:gridCol w:w="60"/>
        <w:gridCol w:w="75"/>
      </w:tblGrid>
      <w:tr>
        <w:trPr/>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E-Mail-Adresse der bevollmächtigten Person: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Email address of the authorized person</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220"/>
        <w:gridCol w:w="60"/>
        <w:gridCol w:w="60"/>
        <w:gridCol w:w="2000"/>
        <w:gridCol w:w="60"/>
        <w:gridCol w:w="75"/>
      </w:tblGrid>
      <w:tr>
        <w:trPr/>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Datum /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Unterschrift / </w:t>
            </w:r>
            <w:r>
              <w:rPr>
                <w:rFonts w:ascii="Times New Roman;Times;Serif" w:hAnsi="Times New Roman;Times;Serif"/>
                <w:b w:val="false"/>
                <w:i/>
                <w:caps w:val="false"/>
                <w:smallCaps w:val="false"/>
                <w:sz w:val="20"/>
              </w:rPr>
              <w:t>Signature</w:t>
            </w: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STIMMRECHTSWEISUNGSFORMULAR / VOTING INSTRUCTION FORM</w:t>
      </w:r>
    </w:p>
    <w:p>
      <w:pPr>
        <w:pStyle w:val="TextBody"/>
        <w:bidi w:val="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Einzelweisungen zu in der Einladung bekannt gegebenen Anträgen des Verwaltungs-rates zu den Verhandlungsgegenständen (Traktanden) an den unabhängigen Stimmrechtsvertreter</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instructions to the independent voting rights representative regarding the Board of Directors’ proposals on the agenda items announced in the invitation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0"/>
        <w:gridCol w:w="60"/>
        <w:gridCol w:w="7230"/>
        <w:gridCol w:w="60"/>
        <w:gridCol w:w="305"/>
        <w:gridCol w:w="60"/>
        <w:gridCol w:w="410"/>
        <w:gridCol w:w="60"/>
        <w:gridCol w:w="980"/>
      </w:tblGrid>
      <w:tr>
        <w:trPr/>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Enthaltung</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Abstention</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bedingtes Kapital für Aktionärsoptionen 1 und Änderung von Art. 3a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in Conditional Capital for Shareholder Options 1 and Amendment of Article 3a of the Articles of Association</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Kapitalband und Änderung von Art. 3d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Capital Band and Amendment of Article 3d of the Articles of Association</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040" w:type="dxa"/>
            <w:tcBorders>
              <w:bottom w:val="single" w:sz="8" w:space="0" w:color="000000"/>
            </w:tcBorders>
            <w:tcMar>
              <w:bottom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60"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Anzahl Mitglieder des Verwaltungsrates und Änderung von Art. 15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of Number of Members of the Board of Directors and Amendment of Article 15 of the Articles of Association</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Allgemeine Weisung</w:t>
            </w:r>
          </w:p>
        </w:tc>
      </w:tr>
      <w:tr>
        <w:trPr/>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77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Directive</w:t>
            </w:r>
          </w:p>
        </w:tc>
      </w:tr>
    </w:tbl>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Für den Fall, dass an der Generalversammlung über in der Einladung nicht angekündigte Anträge und/oder über neue Verhandlungsgegenstände abgestimmt wird, beauftrage und ermächtige ich den unabhängigen Stimmrechtsvertreter, sich wie folgt zu verhalten</w:t>
      </w:r>
      <w:r>
        <w:rPr>
          <w:rFonts w:ascii="Times New Roman;Times;Serif" w:hAnsi="Times New Roman;Times;Serif"/>
          <w:b w:val="false"/>
          <w:i/>
          <w:caps w:val="false"/>
          <w:smallCaps w:val="false"/>
          <w:sz w:val="20"/>
        </w:rPr>
        <w:t>:</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the event that a resolution is put to a vote at the shareholders’ meeting regarding motions not announced in the notice of meeting and/or new items on the agenda, I hereby instruct and authorize the independent proxy to act as follows:</w:t>
      </w:r>
    </w:p>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230"/>
        <w:gridCol w:w="7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Sinne des Antrags des Verwaltungsrates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accordance with the motion of the Board of Directors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Gegen nicht angekündigte Anträge und Anträge zu neuen Verhandlungsgegenständen</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Against unannounced motions and motions regarding new agenda items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Stimmenthaltung</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Abstention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230"/>
        <w:gridCol w:w="8690"/>
      </w:tblGrid>
      <w:tr>
        <w:trPr/>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à</w:t>
            </w:r>
          </w:p>
        </w:tc>
        <w:tc>
          <w:tcPr>
            <w:tcW w:w="8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Bitte retournieren Sie für die briefliche Abstimmung Seiten 1-3 mit dem beigelegten Rücksendecouvert.</w:t>
            </w:r>
          </w:p>
        </w:tc>
      </w:tr>
    </w:tbl>
    <w:tbl>
      <w:tblPr>
        <w:tblW w:w="6655" w:type="dxa"/>
        <w:jc w:val="left"/>
        <w:tblInd w:w="0" w:type="dxa"/>
        <w:tblLayout w:type="fixed"/>
        <w:tblCellMar>
          <w:top w:w="0" w:type="dxa"/>
          <w:left w:w="0" w:type="dxa"/>
          <w:bottom w:w="0" w:type="dxa"/>
          <w:right w:w="0" w:type="dxa"/>
        </w:tblCellMar>
      </w:tblPr>
      <w:tblGrid>
        <w:gridCol w:w="230"/>
        <w:gridCol w:w="6425"/>
      </w:tblGrid>
      <w:tr>
        <w:trPr/>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à</w:t>
            </w:r>
          </w:p>
        </w:tc>
        <w:tc>
          <w:tcPr>
            <w:tcW w:w="64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postal voting, please return pages 1-3 using the enclosed return envelope.</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Zürich, den 2. Juli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 zur ausserordentlichen Generalversammlung der Aktionäre am Freitag, den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Invitation to the Extraordinary General Meeting of Shareholders on Friday,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Sehr geehrte Aktionärinnen und Aktionäre,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zur ausserordentlichen Generalversammlung der Aktionärinnen und Aktionäre der Veraxa Biotech AG einzuladen.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pleased to invite you to the Extraordinary General Meeting of Shareholders of Veraxa Biotech AG.</w:t>
      </w:r>
    </w:p>
    <w:p>
      <w:pPr>
        <w:pStyle w:val="TextBody"/>
        <w:bidi w:val="0"/>
        <w:spacing w:before="0" w:after="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10"/>
        <w:gridCol w:w="5360"/>
      </w:tblGrid>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Datum:</w:t>
            </w:r>
          </w:p>
        </w:tc>
        <w:tc>
          <w:tcPr>
            <w:tcW w:w="5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24. Juli 2026</w:t>
            </w:r>
          </w:p>
        </w:tc>
      </w:tr>
      <w:tr>
        <w:trPr/>
        <w:tc>
          <w:tcPr>
            <w:tcW w:w="10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Date:</w:t>
            </w:r>
          </w:p>
        </w:tc>
        <w:tc>
          <w:tcPr>
            <w:tcW w:w="536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24 July 2026</w:t>
            </w:r>
          </w:p>
        </w:tc>
      </w:tr>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Uhrzeit: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10:00 Uhr </w:t>
            </w:r>
            <w:r>
              <w:rPr>
                <w:rFonts w:ascii="Times New Roman;Times;Serif" w:hAnsi="Times New Roman;Times;Serif"/>
                <w:sz w:val="20"/>
              </w:rPr>
              <w:t>(Einlass ab 09:30 Uhr)</w:t>
            </w:r>
          </w:p>
        </w:tc>
      </w:tr>
      <w:tr>
        <w:trPr/>
        <w:tc>
          <w:tcPr>
            <w:tcW w:w="10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w:t>
            </w:r>
          </w:p>
        </w:tc>
        <w:tc>
          <w:tcPr>
            <w:tcW w:w="53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10:00 AM (doors open at 09:30 AM)</w:t>
            </w:r>
          </w:p>
        </w:tc>
      </w:tr>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Ort / </w:t>
            </w:r>
            <w:r>
              <w:rPr>
                <w:rFonts w:ascii="Times New Roman;Times;Serif" w:hAnsi="Times New Roman;Times;Serif"/>
                <w:b/>
                <w:i/>
                <w:sz w:val="20"/>
              </w:rPr>
              <w:t>Place</w:t>
            </w:r>
            <w:r>
              <w:rPr>
                <w:rFonts w:ascii="Times New Roman;Times;Serif" w:hAnsi="Times New Roman;Times;Serif"/>
                <w:b/>
                <w:sz w:val="20"/>
              </w:rPr>
              <w:t>:</w:t>
            </w:r>
          </w:p>
        </w:tc>
        <w:tc>
          <w:tcPr>
            <w:tcW w:w="5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Walder Wyss AG, Seefeldstrasse 123, 8008 Zürich, Switzerland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p>
      <w:pPr>
        <w:pStyle w:val="TextBody"/>
        <w:bidi w:val="0"/>
        <w:spacing w:before="0" w:after="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7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bedingtes Kapital für Aktionärsoptionen 1 und Änderung von Art. 3a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Conditional Capital for Shareholder Options 1 and Amendment of Article 3a of the Articles of Association</w:t>
      </w:r>
    </w:p>
    <w:p>
      <w:pPr>
        <w:pStyle w:val="TextBody"/>
        <w:bidi w:val="0"/>
        <w:spacing w:before="0" w:after="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Kapitalband und Änderung von Art. 3d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Increase Capital Band and Amendment of Article 3d of the Articles of Association </w:t>
      </w:r>
    </w:p>
    <w:p>
      <w:pPr>
        <w:pStyle w:val="TextBody"/>
        <w:bidi w:val="0"/>
        <w:spacing w:before="0" w:after="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Anzahl Mitglieder des Verwaltungsrates und Änderung von Art. 15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Increase of Number of Members of the Board of Directors and Amendment of Article 15 of the Articles of Association </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der beantragten Statutenänderungen siehe im Anhang</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Appendix for the text of the proposed amendments to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 Aktionärinnen und Aktionäre werden diejenigen Personen anerkannt, welche per 20. Juli 2026 im elektronischen Aktienbuch der Veraxa Biotech AG eingetragen sind. Die gegenseitige Vertretung von Aktionären ist statthaft. Ein zur Vertretung berufener Aktionär hat eine rechtsgültige Vollmacht seitens des vertretenen Aktionärs mitzubringen. Ein entsprechendes Formular haben wir Ihnen zu dieser Einladung beigelegt. Alternativ können Sie auf der Aktionärsplattform </w:t>
      </w:r>
      <w:r>
        <w:rPr>
          <w:rFonts w:ascii="Times New Roman;Times;Serif" w:hAnsi="Times New Roman;Times;Serif"/>
          <w:b w:val="false"/>
          <w:i w:val="false"/>
          <w:caps w:val="false"/>
          <w:smallCaps w:val="false"/>
          <w:sz w:val="20"/>
          <w:u w:val="single"/>
        </w:rPr>
        <w:t>www.aequitec.ch</w:t>
      </w:r>
      <w:r>
        <w:rPr>
          <w:rFonts w:ascii="Times New Roman;Times;Serif" w:hAnsi="Times New Roman;Times;Serif"/>
          <w:b w:val="false"/>
          <w:i w:val="false"/>
          <w:caps w:val="false"/>
          <w:smallCaps w:val="false"/>
          <w:sz w:val="20"/>
        </w:rPr>
        <w:t xml:space="preserve"> einen unabhängigen Stimmrechtsvertreter mandatieren.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Shareholders are defined as those individuals who are registered in the electronic share register of Veraxa Biotech AG as of 20 July 2026. Shareholders may appoint proxies to represent them. A shareholder appointed as a proxy must present a legally valid power of attorney from the shareholder they are representing. We have enclosed the appropriate form with this invitation. Alternatively, you can appoint an independent proxy on the shareholder platform </w:t>
      </w:r>
      <w:r>
        <w:rPr>
          <w:rFonts w:ascii="Times New Roman;Times;Serif" w:hAnsi="Times New Roman;Times;Serif"/>
          <w:b w:val="false"/>
          <w:i/>
          <w:caps w:val="false"/>
          <w:smallCaps w:val="false"/>
          <w:sz w:val="20"/>
          <w:u w:val="single"/>
        </w:rPr>
        <w:t>www.aequitec.ch.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am 24. Juli 2026 in Zürich begrüssen zu dürfen.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look forward to welcoming you in Zurich on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Freundliche Grüsse</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Kind regards</w:t>
      </w:r>
    </w:p>
    <w:p>
      <w:pPr>
        <w:pStyle w:val="TextBody"/>
        <w:bidi w:val="0"/>
        <w:spacing w:before="0" w:after="0"/>
        <w:jc w:val="left"/>
        <w:rPr>
          <w:caps w:val="false"/>
          <w:smallCaps w:val="false"/>
        </w:rPr>
      </w:pPr>
      <w:r>
        <w:rPr>
          <w:caps w:val="false"/>
          <w:smallCaps w:val="false"/>
        </w:rPr>
        <w:t> </w:t>
      </w:r>
    </w:p>
    <w:tbl>
      <w:tblPr>
        <w:tblW w:w="3020" w:type="dxa"/>
        <w:jc w:val="left"/>
        <w:tblInd w:w="0" w:type="dxa"/>
        <w:tblLayout w:type="fixed"/>
        <w:tblCellMar>
          <w:top w:w="0" w:type="dxa"/>
          <w:left w:w="0" w:type="dxa"/>
          <w:bottom w:w="28" w:type="dxa"/>
          <w:right w:w="0" w:type="dxa"/>
        </w:tblCellMar>
      </w:tblPr>
      <w:tblGrid>
        <w:gridCol w:w="2945"/>
        <w:gridCol w:w="75"/>
      </w:tblGrid>
      <w:tr>
        <w:trPr/>
        <w:tc>
          <w:tcPr>
            <w:tcW w:w="2945" w:type="dxa"/>
            <w:tcBorders>
              <w:bottom w:val="single" w:sz="8" w:space="0" w:color="000000"/>
            </w:tcBorders>
            <w:vAlign w:val="center"/>
          </w:tcPr>
          <w:p>
            <w:pPr>
              <w:pStyle w:val="TableContents"/>
              <w:bidi w:val="0"/>
              <w:spacing w:before="0" w:after="283"/>
              <w:jc w:val="both"/>
              <w:rPr/>
            </w:pPr>
            <w:r>
              <w:rPr/>
              <w:t>/s/ Oliver R. Baumann</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Oliver R. Baumann</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Präsident des Verwaltungsrates</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Chairman of the Board of Directors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Anhang zur Einladung zur ausserordentlichen Generalversammlung der Aktionäre</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Appendix to Invitation to the Extraordinary General Meeting of Shareholders’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0"/>
        <w:gridCol w:w="60"/>
        <w:gridCol w:w="4385"/>
      </w:tblGrid>
      <w:tr>
        <w:trPr/>
        <w:tc>
          <w:tcPr>
            <w:tcW w:w="5760" w:type="dxa"/>
            <w:tcBorders/>
            <w:vAlign w:val="center"/>
          </w:tcPr>
          <w:p>
            <w:pPr>
              <w:pStyle w:val="TableContents"/>
              <w:bidi w:val="0"/>
              <w:spacing w:before="0" w:after="283"/>
              <w:jc w:val="left"/>
              <w:rPr/>
            </w:pPr>
            <w:r>
              <w:rPr/>
              <w:t>“</w:t>
            </w:r>
            <w:r>
              <w:rPr>
                <w:b/>
              </w:rPr>
              <w:t>Artikel 3a – Bedingtes Aktienkapital für Aktionärsoptionen 1</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b/>
              </w:rPr>
            </w:pPr>
            <w:r>
              <w:rPr>
                <w:b/>
              </w:rPr>
              <w:t>Article 3a – Conditional Capital for Shareholders’ Options 1</w:t>
            </w:r>
          </w:p>
        </w:tc>
      </w:tr>
      <w:tr>
        <w:trPr/>
        <w:tc>
          <w:tcPr>
            <w:tcW w:w="5760" w:type="dxa"/>
            <w:tcBorders/>
            <w:vAlign w:val="center"/>
          </w:tcPr>
          <w:p>
            <w:pPr>
              <w:pStyle w:val="TableContents"/>
              <w:bidi w:val="0"/>
              <w:spacing w:before="0" w:after="283"/>
              <w:jc w:val="left"/>
              <w:rPr/>
            </w:pPr>
            <w:r>
              <w:rPr/>
              <w:t>Das Aktienkapital der Gesellschaft wird im Maximalbetrag von CHF 459’789 + 25/453 erhöht durch Ausgabe von höchstens 52’071’110 vollständig zu liberierenden Namenaktien mit einem Nennwert von je CHF 100/11’325 durch Ausübung von Rechten oder Anwartschaften auf Erwerb von Aktien (Erwerbsrechte), welche: (a) in Verbindung mit Anleihens- oder ähnlichen Instrumenten, einschliesslich Wandel- oder Optionsanleihen, Darlehen oder anderer Finanzierungsinstrumente, der Gesellschaft oder von Konzerngesellschaften (zusammen nachfolgend “aktiengebundene Finanzierungsinstrumente” genannt) eingeräumt oder auferlegt werden; oder (b) an beliebige Personen (seien es Aktionäre oder Dritte) eingeräumt werden (nachfolgend “Warrants” genannt).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share capital of the Company may be increased by up to CHF 459,789 + 25/453 by the issue of up to 52,071,110 fullypaid- up registered shares with a par value of CHF 100/11’325 each by exercising rights or entitlements to acquire shares (acquisition rights), which are: (a) granted or imposed in connection with bonds or similar instruments, including convertible bonds or bonds with warrants, loans or other financing instruments, of the Company or of consolidated subsidiaries (hereinafter collectively the “Equity-Linked Financing Instruments”), or (b) granted to any persons (whether shareholders or third parties) (hereinafter referred to as “Warrants”).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Das Bezugsrecht der Aktionäre ist ausgeschlossen.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Existing shareholders’ subscription rights are excluded.</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Der Verwaltungsrat ist ermächtigt, bei der Ausgabe von aktiengebundenen Finanzierungsinstrumenten und bei Warrants das Vorwegzeichnungsrecht der Aktionäre zu beschränken oder aufzuheben im Zusammenhang mit (a) der Finanzierung (einschliesslich Refinanzierung) des Erwerbs von Unternehmen, Unternehmensteilen, Beteiligungen oder von neuen Investitionsvorhaben der Gesellschaft oder (b) der Emission auf nationalen oder internationalen Kapitalmärkten oder der Ausgabe an einen oder mehrere strategische Investoren oder Finanzinvestoren.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Board of Directors is authorized, when issuing Equity- Linked Financing Instruments and Warrants to restrict or cancel shareholders’ advance subscription rights in connection with (a) the financing (including refinancing) of the acquisition of companies, parts of companies, participations or new investment projects of the Company, or (b) the issue on national or international capital markets or to one or more strategic or financial investors.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Soweit das Vorwegzeichnungsrecht ausgeschlossen ist, sind (i) die aktiengebundenen Finanzierungsinstrumente zu Marktbedingungen zu platzieren, (ii) die Ausübungsfrist der Wandelrechte auf höchstens zwanzig Jahre und jene der Optionsrechte auf höchstens zehn Jahre ab dem Zeitpunkt der Emission (oder einer Neufestsetzung der Bedingungen) anzusetzen und (iii) der Wandel- oder Ausübungspreis oder die Berechnungsmethode eines solchen Preises für die neuen Aktien entsprechend Marktbedingungen und -praxis im Zeitpunkt der Emission der aktiengebundenen Finanzierungsinstrumente, der Neufestsetzung der Bedingungen oder der Ausgabe von neuen Aktien festzulegen.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Insofar as the right of advance subscription is excluded, the following conditions shall apply: (i) the Equity-Linked Financing Instruments are to be placed at market conditions; (ii) the exercise period of the conversion rights is to be set at a maximum of 20 years and that of the option rights at a maximum of 10 years from the date of the issue (or of a re-setting of the terms and conditions); and (iii) the conversion or exercise price or the calculation methodology for such price for the new shares is to be set in line with market conditions and practice prevailing at the time of the issue of the Equity-Linked Financing Instruments, of a resetting of the terms and conditions, or of the new shares.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Die Erwerbsrechte sind mittels schriftlicher Mitteilung an die Gesellschaft oder in einer anderen vom Verwaltungsrat festgelegten Form auszuüben.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Acquisition Rights shall be exercised by way of written notice to the company or in another form as determined by the board of directors.”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w:t>
            </w:r>
            <w:r>
              <w:rPr>
                <w:b/>
              </w:rPr>
              <w:t>Artikel 3d – Kapitalband</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b/>
              </w:rPr>
            </w:pPr>
            <w:r>
              <w:rPr>
                <w:b/>
              </w:rPr>
              <w:t>Article 3d – Capital Band</w:t>
            </w:r>
          </w:p>
        </w:tc>
      </w:tr>
      <w:tr>
        <w:trPr/>
        <w:tc>
          <w:tcPr>
            <w:tcW w:w="5760" w:type="dxa"/>
            <w:tcBorders/>
            <w:vAlign w:val="center"/>
          </w:tcPr>
          <w:p>
            <w:pPr>
              <w:pStyle w:val="TableContents"/>
              <w:bidi w:val="0"/>
              <w:spacing w:before="0" w:after="283"/>
              <w:jc w:val="left"/>
              <w:rPr/>
            </w:pPr>
            <w:r>
              <w:rPr/>
              <w:t>Der Verwaltungsrat ist ermächtigt, jederzeit bis zum 31. Dezember 2030 das derzeitige Aktienkapital der Gesellschaft durch die Ausgabe von maximal 70’703’906 Namenaktien mit einem Nennwert von je CHF 100/11’325 um nominal maximal CHF 624’317 + 25/453 zu erhöhen, wobei die obere Grenze des Kapitalbands nominal CHF 1’872’951 + 73/453 und die untere Grenze nominal CHF 1’248’634 + 50/453 beträgt. Mehrfache Erhöhungen (auch in Teilbeträgen) im Rahmen des Kapitalbands, der Befristung und der nachfolgenden Bestimmungen sind zulässig.</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Board of Directors is authorised to increase the current share capital of the Company at any time until 31 December 2030 by a maximum nominal amount of CHF 624,317 + 25/453 by issuing a maximum of 70,703,906 registered shares with a par value of CHF 100/11,325 each (common shares), whereby the upper limit of the capital band is nominally CHF 1’872’951 + 73/453 and the lower limit is nominally CHF 1,248,634 + 50/453. Multiple increases (also in instalments) within the framework of the capital band, the time limit and the following provisions are permitted.</w:t>
            </w:r>
          </w:p>
        </w:tc>
      </w:tr>
    </w:tbl>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0"/>
        <w:gridCol w:w="60"/>
        <w:gridCol w:w="4785"/>
      </w:tblGrid>
      <w:tr>
        <w:trPr/>
        <w:tc>
          <w:tcPr>
            <w:tcW w:w="5360" w:type="dxa"/>
            <w:tcBorders/>
            <w:vAlign w:val="center"/>
          </w:tcPr>
          <w:p>
            <w:pPr>
              <w:pStyle w:val="TableContents"/>
              <w:bidi w:val="0"/>
              <w:spacing w:before="0" w:after="283"/>
              <w:jc w:val="left"/>
              <w:rPr/>
            </w:pPr>
            <w:r>
              <w:rPr/>
              <w:t>Der Verwaltungsrat legt den Ausgabebetrag, die Art der Einlagen, den Zeitpunkt der Ausgabe, die Bedingungen der Bezugsrechtsausübung und den Beginn der Dividendenberechtigung fest. Dabei kann der Verwaltungsrat neue Aktien mittels Festübernahme durch eine Bank oder einen anderen Dritten und anschliessenden Angebots an die bisherigen Aktionäre ausgeben. Der Verwaltungsrat ist ermächtigt, den Handel mit Bezugsrechten zu beschränken oder auszuschliessen. Nicht ausgeübte Bezugsrechte kann der Verwaltungsrat verfallen lassen oder diese bzw. die Aktien, für welche Bezugsrechte eingeräumt, aber nicht ausgeübt werden, zu Marktkonditionen platzieren oder anderweitig im Interesse der Gesellschaft verwenden.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shall determine the amount of share capital to be issued, the type of contribution, the date of issue, the conditions governing the exercise of subscription rights and the commencement of dividend entitlement. The Board of Directors may issue new shares which are underwritten by a bank or other third party and subsequently offered to existing shareholders. The Board of Directors is authorised to restrict or to prohibit trading in the subscription rights to the new shares. In the event of subscription rights not being exercised, the Board of Directors may, at its discretion, either allow such rights to expire worthless, or place them or the shares to which they entitle their holders either at market prices or in some other manner commensurate with the interests of the Company.</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Der Verwaltungsrat ist ermächtigt, die Be-zugsrechte der Aktionäre zu entziehen oder zu beschränken und Bezugsrechte einzelnen Aktionären oder Dritten zuzuweisen: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is authorized to withdraw or limit the subscription rights of shareholders and to allocate subscription rights to individual shareholders or third parties: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 sofern die Aktien für die Übernahme von Unternehmen, Unternehmensteilen oder Beteiligungen oder für die Finanzierung oder Refinanzierung solcher Transaktionen, die Umwandlung von Darlehen oder Wertschriften in Aktien, die Finanzierung von neuen Investitionsvorhaben der Gesellschaft, den Erwerb oder die Finanzierung von Produkten, geistigem Eigentum oder Lizenzen oder die Finanzierung von strategischen Initiativen verwendet werden;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 of the new shares being used to acquire companies, parts thereof or participations, or for the financing or refinancing of such transactions, for the conversion of loans or securities into shares, for the financing of new investment projects undertaken, the acquisition or financing of products, intellectual property or licenses, or the financing of strategic initiatives undertaken by the Company;</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(ii) sofern die Aktien zum Zwecke der Erweiterung des Aktionärskreises im Zusammenhang mit der Kotierung der Aktien an einer Börse, um den Streubesitz zu erhöhen, oder zur Beteiligung von strategischen Partnern verwendet werden;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(ii) of the new shares being used either to extend the shareholder base [in conjunction with the listing of the shares on any stock exchange] to increase the free float or for investment by strategic partners;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(iii) im Fall nationaler oder internationaler (auch privater) Platzierung von Aktien zu Marktkonditionen; oder</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(iii) of the new shares being placed nationally or internationally (including by way of private placement) at market conditions;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(iv) sofern die Aktien zum Zwecke einer raschen und flexiblen Beschaffung von Eigenkapital, welche ohne Beschränkung oder Ausschluss des Bezugsrechts nur schwer oder zu schlechteren Bedingungen möglich wäre.</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(iv) the new shares being issued for the for the purpose of raising equity capital in a swift and flexible manner, where such raising of capital would be difficult or would only be possible at less favorable conditions if the subscription rights to the new shares were not restricted or withdrawn.”</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b/>
                <w:i/>
              </w:rPr>
            </w:pPr>
            <w:r>
              <w:rPr>
                <w:b/>
                <w:i/>
              </w:rPr>
              <w:t>Art. 15 Abs. 1:</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b/>
                <w:i/>
              </w:rPr>
            </w:pPr>
            <w:r>
              <w:rPr>
                <w:b/>
                <w:i/>
              </w:rPr>
              <w:t>Art. 15 para. 1:</w:t>
            </w:r>
          </w:p>
        </w:tc>
      </w:tr>
      <w:tr>
        <w:trPr/>
        <w:tc>
          <w:tcPr>
            <w:tcW w:w="5360" w:type="dxa"/>
            <w:tcBorders/>
            <w:vAlign w:val="center"/>
          </w:tcPr>
          <w:p>
            <w:pPr>
              <w:pStyle w:val="TableContents"/>
              <w:bidi w:val="0"/>
              <w:spacing w:before="0" w:after="283"/>
              <w:jc w:val="left"/>
              <w:rPr/>
            </w:pPr>
            <w:r>
              <w:rPr/>
              <w:t>“</w:t>
            </w:r>
            <w:r>
              <w:rPr/>
              <w:t>Der Verwaltungsrat besteht aus bis zu sieben Mitgliedern.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shall consist of up to seven members.”</w:t>
            </w:r>
          </w:p>
        </w:tc>
      </w:tr>
    </w:tbl>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Organisatorische Hinweise / </w:t>
      </w:r>
      <w:r>
        <w:rPr>
          <w:rFonts w:ascii="Times New Roman;Times;Serif" w:hAnsi="Times New Roman;Times;Serif"/>
          <w:b/>
          <w:i/>
          <w:caps w:val="false"/>
          <w:smallCaps w:val="false"/>
          <w:sz w:val="20"/>
          <w:bdr w:val="single" w:sz="8" w:space="5" w:color="000000"/>
        </w:rPr>
        <w:t>Organizational Information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Anmeldung / </w:t>
      </w:r>
      <w:r>
        <w:rPr>
          <w:rFonts w:ascii="Times New Roman;Times;Serif" w:hAnsi="Times New Roman;Times;Serif"/>
          <w:b/>
          <w:i/>
          <w:caps w:val="false"/>
          <w:smallCaps w:val="false"/>
          <w:sz w:val="20"/>
          <w:bdr w:val="single" w:sz="8" w:space="5" w:color="000000"/>
        </w:rPr>
        <w:t>Registration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Bitte verwenden Sie das beiliegende Stimmrechtsweisungsformular oder die elektronische Übermittlung auf der Aktionärsplattform </w:t>
      </w:r>
      <w:r>
        <w:rPr>
          <w:rFonts w:ascii="Times New Roman;Times;Serif" w:hAnsi="Times New Roman;Times;Serif"/>
          <w:b w:val="false"/>
          <w:i w:val="false"/>
          <w:caps w:val="false"/>
          <w:smallCaps w:val="false"/>
          <w:sz w:val="20"/>
          <w:u w:val="single"/>
          <w:bdr w:val="single" w:sz="8" w:space="5" w:color="000000"/>
        </w:rPr>
        <w:t>app.aequitec.ch</w:t>
      </w:r>
      <w:r>
        <w:rPr>
          <w:rFonts w:ascii="Times New Roman;Times;Serif" w:hAnsi="Times New Roman;Times;Serif"/>
          <w:b w:val="false"/>
          <w:i w:val="false"/>
          <w:caps w:val="false"/>
          <w:smallCaps w:val="false"/>
          <w:sz w:val="20"/>
          <w:bdr w:val="single" w:sz="8" w:space="5" w:color="000000"/>
        </w:rPr>
        <w:t xml:space="preserve">, um Ihre Stimmrechtsweisung zu übermitteln. Ihre Login-Daten für die Aktionärsplattform finden Sie auf Ihrem Anschreiben. Dieses Anschreiben dient ebenfalls als Zutrittskarte für die Einlasskontrolle zur physischen Generalversammlung. Für technische Fragen finden Sie weiterführende Informationen und eine Schritt für Schritt Anleitung auf </w:t>
      </w:r>
      <w:r>
        <w:rPr>
          <w:rFonts w:ascii="Times New Roman;Times;Serif" w:hAnsi="Times New Roman;Times;Serif"/>
          <w:b w:val="false"/>
          <w:i w:val="false"/>
          <w:caps w:val="false"/>
          <w:smallCaps w:val="false"/>
          <w:sz w:val="20"/>
          <w:u w:val="single"/>
          <w:bdr w:val="single" w:sz="8" w:space="5" w:color="000000"/>
        </w:rPr>
        <w:t>help.aequitec.com</w:t>
      </w:r>
      <w:r>
        <w:rPr>
          <w:rFonts w:ascii="Times New Roman;Times;Serif" w:hAnsi="Times New Roman;Times;Serif"/>
          <w:b w:val="false"/>
          <w:i w:val="false"/>
          <w:caps w:val="false"/>
          <w:smallCaps w:val="false"/>
          <w:sz w:val="20"/>
          <w:bdr w:val="single" w:sz="8" w:space="5" w:color="000000"/>
        </w:rPr>
        <w:t xml:space="preserve">. Alternativ kontaktieren sie bitte das Aequitec Team via </w:t>
      </w:r>
      <w:r>
        <w:rPr>
          <w:rFonts w:ascii="Times New Roman;Times;Serif" w:hAnsi="Times New Roman;Times;Serif"/>
          <w:b w:val="false"/>
          <w:i w:val="false"/>
          <w:caps w:val="false"/>
          <w:smallCaps w:val="false"/>
          <w:sz w:val="20"/>
          <w:u w:val="single"/>
          <w:bdr w:val="single" w:sz="8" w:space="5" w:color="000000"/>
        </w:rPr>
        <w:t>support@aequitec.com</w:t>
      </w:r>
      <w:r>
        <w:rPr>
          <w:rFonts w:ascii="Times New Roman;Times;Serif" w:hAnsi="Times New Roman;Times;Serif"/>
          <w:b w:val="false"/>
          <w:i w:val="false"/>
          <w:caps w:val="false"/>
          <w:smallCaps w:val="false"/>
          <w:sz w:val="20"/>
          <w:bdr w:val="single" w:sz="8" w:space="5" w:color="000000"/>
        </w:rPr>
        <w: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Please use the enclosed voting instruction form or the electronic submission option on the shareholder platform app.aequitec.ch to submit your voting instructions. Your login details for the shareholder platform can be found in your cover letter. This cover letter also serves as your admission ticket for the entrance control at the physical General Meeting. For technical questions, further information and step-by-step instructions are available at help.aequitec.com. Alternatively, please contact the Aequitec team at support@aequitec.com.</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Vertretung und Stimmabgabe / </w:t>
      </w:r>
      <w:r>
        <w:rPr>
          <w:rFonts w:ascii="Times New Roman;Times;Serif" w:hAnsi="Times New Roman;Times;Serif"/>
          <w:b/>
          <w:i/>
          <w:caps w:val="false"/>
          <w:smallCaps w:val="false"/>
          <w:sz w:val="20"/>
          <w:bdr w:val="single" w:sz="8" w:space="5" w:color="000000"/>
        </w:rPr>
        <w:t>Representation and Voting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Die Vollmachtserteilung an eine Drittperson erfolgt durch Benutzung des beigefügten Stimmrechtsweisungsformulars elektronisch via </w:t>
      </w:r>
      <w:r>
        <w:rPr>
          <w:rFonts w:ascii="Times New Roman;Times;Serif" w:hAnsi="Times New Roman;Times;Serif"/>
          <w:b w:val="false"/>
          <w:i w:val="false"/>
          <w:caps w:val="false"/>
          <w:smallCaps w:val="false"/>
          <w:sz w:val="20"/>
          <w:u w:val="single"/>
          <w:bdr w:val="single" w:sz="8" w:space="5" w:color="000000"/>
        </w:rPr>
        <w:t>app.aequitec.ch</w:t>
      </w:r>
      <w:r>
        <w:rPr>
          <w:rFonts w:ascii="Times New Roman;Times;Serif" w:hAnsi="Times New Roman;Times;Serif"/>
          <w:b w:val="false"/>
          <w:i w:val="false"/>
          <w:caps w:val="false"/>
          <w:smallCaps w:val="false"/>
          <w:sz w:val="20"/>
          <w:bdr w:val="single" w:sz="8" w:space="5" w:color="000000"/>
        </w:rPr>
        <w:t xml:space="preserve"> oder postalisch an Iten McNally GmbH Rechtsanwälte, Gartenstrasse 25, Postfach, 8027 Zürich, Schweiz oder per E-Mail an </w:t>
      </w:r>
      <w:r>
        <w:rPr>
          <w:rFonts w:ascii="Times New Roman;Times;Serif" w:hAnsi="Times New Roman;Times;Serif"/>
          <w:b w:val="false"/>
          <w:i w:val="false"/>
          <w:caps w:val="false"/>
          <w:smallCaps w:val="false"/>
          <w:sz w:val="20"/>
          <w:u w:val="single"/>
          <w:bdr w:val="single" w:sz="8" w:space="5" w:color="000000"/>
        </w:rPr>
        <w:t>maya.mcnally@itenmcnally.com</w:t>
      </w:r>
      <w:r>
        <w:rPr>
          <w:rFonts w:ascii="Times New Roman;Times;Serif" w:hAnsi="Times New Roman;Times;Serif"/>
          <w:b w:val="false"/>
          <w:i w:val="false"/>
          <w:caps w:val="false"/>
          <w:smallCaps w:val="false"/>
          <w:sz w:val="20"/>
          <w:bdr w:val="single" w:sz="8" w:space="5" w:color="000000"/>
        </w:rPr>
        <w: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Power of attorney may be granted to a third party by using the enclosed voting instruction form, electronically via app.aequitec.ch, by post to Iten McNally GmbH Attorneys-at-Law, Gartenstrasse 25, P.O. Box, 8027 Zurich, Switzerland, or by email to maya.mcnally@itenmcnally.com.</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Die Bevollmächtigung und Instruktion der unabhängigen Stimmrechtsvertreterin erfolgt somit entweder</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durch Benutzung des beigefügten Stimmrechtsweisungsformulars und Retournierung an Iten McNally GmbH Rechtsanwälte, Gartenstrasse 25, Postfach, 8027 Zürich, Schweiz oder per E-Mail an </w:t>
            </w:r>
            <w:r>
              <w:rPr>
                <w:rFonts w:ascii="Times New Roman;Times;Serif" w:hAnsi="Times New Roman;Times;Serif"/>
                <w:b w:val="false"/>
                <w:i w:val="false"/>
                <w:caps w:val="false"/>
                <w:smallCaps w:val="false"/>
                <w:sz w:val="20"/>
                <w:u w:val="single"/>
              </w:rPr>
              <w:t>maya.mcnally@itenmcnally.com</w:t>
            </w:r>
            <w:r>
              <w:rPr>
                <w:rFonts w:ascii="Times New Roman;Times;Serif" w:hAnsi="Times New Roman;Times;Serif"/>
                <w:b w:val="false"/>
                <w:i w:val="false"/>
                <w:caps w:val="false"/>
                <w:smallCaps w:val="false"/>
                <w:sz w:val="20"/>
              </w:rPr>
              <w:t xml:space="preserve"> oder</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auf dem elektronischen Weg über </w:t>
            </w:r>
            <w:r>
              <w:rPr>
                <w:rFonts w:ascii="Times New Roman;Times;Serif" w:hAnsi="Times New Roman;Times;Serif"/>
                <w:b w:val="false"/>
                <w:i w:val="false"/>
                <w:caps w:val="false"/>
                <w:smallCaps w:val="false"/>
                <w:sz w:val="20"/>
                <w:u w:val="single"/>
              </w:rPr>
              <w:t>app.aequitec.ch</w:t>
            </w:r>
            <w:r>
              <w:rPr>
                <w:rFonts w:ascii="Times New Roman;Times;Serif" w:hAnsi="Times New Roman;Times;Serif"/>
                <w:b w:val="false"/>
                <w:i w:val="false"/>
                <w:caps w:val="false"/>
                <w:smallCaps w:val="false"/>
                <w:sz w:val="20"/>
              </w:rPr>
              <w:t>. Ihre Login-Daten finden Sie auf ihrem Anschreiben. Melden Sie sich mit den Login-Informationen an. Nach der Anmeldung finden Sie alle Anträge und Begleitinformationen zur Generalversammlung unter dem Menüpunkt “Meetings”. Änderungen der elektronisch erteilten Weisungen sind bis zum 20. Juli 2026 um 23:59 Uhr MEZ möglich.</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The authorization and instruction of the independent voting rights representative may therefore be carried out either:</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0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by using the enclosed voting instruction form and returning it to Iten McNally GmbH Attorneys-at-Law, Gartenstrasse 25, P.O. Box, 8027 Zurich, Switzerland, or by email to maya.mcnally@itenmcnally.com; or </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electronically via app.aequitec.ch. Your login details can be found in your cover letter. Log in using your login details. After logging in, you will find all proposals and accompanying information regarding the General Meeting under the menu item “Meetings”. Changes to instructions submitted electronically are possible until 20 July 2026 at 23:59 CET. </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Stimmabgabe bei persönlicher Teilnahme / </w:t>
      </w:r>
      <w:r>
        <w:rPr>
          <w:rFonts w:ascii="Times New Roman;Times;Serif" w:hAnsi="Times New Roman;Times;Serif"/>
          <w:b/>
          <w:i/>
          <w:caps w:val="false"/>
          <w:smallCaps w:val="false"/>
          <w:sz w:val="20"/>
          <w:bdr w:val="single" w:sz="8" w:space="5" w:color="000000"/>
        </w:rPr>
        <w:t>Voting in Case of Personal Attendance</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Bitte weisen sie sich bei der Einlasskontrolle mit ihrem Anschreiben, welches als Zutrittskarte dient, und einem gültigen Legitimationsdokument (Reisepass, Schweizer ID oder Personalausweis) aus. Im Rahmen der Einlasskontrolle erhalten sie dann ein Abstimmungsgerät, welche bereits ihre Aktienstimmen einprogrammiert hat.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Please identify yourself at the entrance control with your cover letter, which serves as your admission ticket, and a valid identification document: passport, Swiss identity card, or personal ID card. As part of the entrance control, you will then receive a voting device on which your share votes have already been programmed.</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Stimmberechtigung / </w:t>
      </w:r>
      <w:r>
        <w:rPr>
          <w:rFonts w:ascii="Times New Roman;Times;Serif" w:hAnsi="Times New Roman;Times;Serif"/>
          <w:b/>
          <w:i/>
          <w:caps w:val="false"/>
          <w:smallCaps w:val="false"/>
          <w:sz w:val="20"/>
          <w:bdr w:val="single" w:sz="8" w:space="5" w:color="000000"/>
        </w:rPr>
        <w:t>Voting Rights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Als stimmberechtigte Aktionärinnen und Aktionäre werden diejenigen Personen anerkannt, die per 20. Juli 2026 im elektronischen Aktienbuch der Gesellschaft eingetragen sind. Am 2. Juli 2026 eingetragene stimmberechtigte Aktionäre erhalten automatisch eine Einladung zur Generalversammlung.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Persons recognized as shareholders entitled to vote are those who are entered in the company’s electronic share register as of July 20, 2026. Shareholders entitled to vote who are registered as of July 2, 2026 will automatically receive an invitation to the General Meeting.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NOTE: </w:t>
      </w:r>
      <w:r>
        <w:rPr>
          <w:rFonts w:ascii="Times New Roman;Times;Serif" w:hAnsi="Times New Roman;Times;Serif"/>
          <w:b w:val="false"/>
          <w:i/>
          <w:caps w:val="false"/>
          <w:smallCaps w:val="false"/>
          <w:sz w:val="20"/>
        </w:rPr>
        <w:t>All English text is provided solely as a translation of the German original. In case of doubt, the German version shall prevail.</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3048000" cy="361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048000" cy="361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Rubrik:</w:t>
      </w:r>
      <w:r>
        <w:rPr>
          <w:rFonts w:ascii="Times New Roman;Times;Serif" w:hAnsi="Times New Roman;Times;Serif"/>
          <w:b w:val="false"/>
          <w:i w:val="false"/>
          <w:caps w:val="false"/>
          <w:smallCaps w:val="false"/>
          <w:sz w:val="20"/>
        </w:rPr>
        <w:t xml:space="preserve"> Mitteilungen an Gesellschafter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Unterrubrik:</w:t>
      </w:r>
      <w:r>
        <w:rPr>
          <w:rFonts w:ascii="Times New Roman;Times;Serif" w:hAnsi="Times New Roman;Times;Serif"/>
          <w:b w:val="false"/>
          <w:i w:val="false"/>
          <w:caps w:val="false"/>
          <w:smallCaps w:val="false"/>
          <w:sz w:val="20"/>
        </w:rPr>
        <w:t xml:space="preserve"> Einladung zur Generalversammlung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Publikationsdatum:</w:t>
      </w:r>
      <w:r>
        <w:rPr>
          <w:rFonts w:ascii="Times New Roman;Times;Serif" w:hAnsi="Times New Roman;Times;Serif"/>
          <w:b w:val="false"/>
          <w:i w:val="false"/>
          <w:caps w:val="false"/>
          <w:smallCaps w:val="false"/>
          <w:sz w:val="20"/>
        </w:rPr>
        <w:t xml:space="preserve"> SHAB 02.07.2026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Öffentlich einsehbar bis:</w:t>
      </w:r>
      <w:r>
        <w:rPr>
          <w:rFonts w:ascii="Times New Roman;Times;Serif" w:hAnsi="Times New Roman;Times;Serif"/>
          <w:b w:val="false"/>
          <w:i w:val="false"/>
          <w:caps w:val="false"/>
          <w:smallCaps w:val="false"/>
          <w:sz w:val="20"/>
        </w:rPr>
        <w:t xml:space="preserve"> 02.07.2027</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Meldungsnummer:</w:t>
      </w:r>
      <w:r>
        <w:rPr>
          <w:rFonts w:ascii="Times New Roman;Times;Serif" w:hAnsi="Times New Roman;Times;Serif"/>
          <w:b w:val="false"/>
          <w:i w:val="false"/>
          <w:caps w:val="false"/>
          <w:smallCaps w:val="false"/>
          <w:sz w:val="20"/>
        </w:rPr>
        <w:t xml:space="preserve"> UP04-0000008135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Publizierende Stelle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1714500" cy="400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Talacker 35, 8001 Zürich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Einladung zur ausserordentlichen</w:t>
      </w:r>
    </w:p>
    <w:p>
      <w:pPr>
        <w:pStyle w:val="TextBody"/>
        <w:bidi w:val="0"/>
        <w:spacing w:before="0" w:after="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Generalversammlung Veraxa Biotech AG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Betroffene Organisation: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CHE-441.201.868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Talacker 35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Angaben zur Generalversammlung:</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24.07.2026, 10:00 Uhr, Walder Wyss AG, Seefeldstrasse 123, 8008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Einladungstext/Traktanden:</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 zur ausserordentlichen Generalversammlung der Aktionäre am Freitag, den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Invitation to the Extraordinary General Meeting of Shareholders on Friday,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Sehr geehrte Aktionärinnen und Aktionäre,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zur ausserordentlichen Generalversammlung der Aktionärinnen und Aktionäre der Veraxa Biotech AG einzuladen.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pleased to invite you to the Extraordinary General Meeting of Shareholders of 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Datum: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Uhrzeit: 10:00 Uhr</w:t>
      </w:r>
      <w:r>
        <w:rPr>
          <w:rFonts w:ascii="Times New Roman;Times;Serif" w:hAnsi="Times New Roman;Times;Serif"/>
          <w:b w:val="false"/>
          <w:i w:val="false"/>
          <w:caps w:val="false"/>
          <w:smallCaps w:val="false"/>
          <w:sz w:val="20"/>
        </w:rPr>
        <w:t xml:space="preserve"> (Einlass ab 09:30 Uhr)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Time </w:t>
      </w:r>
      <w:r>
        <w:rPr>
          <w:rFonts w:ascii="Times New Roman;Times;Serif" w:hAnsi="Times New Roman;Times;Serif"/>
          <w:b w:val="false"/>
          <w:i/>
          <w:caps w:val="false"/>
          <w:smallCaps w:val="false"/>
          <w:sz w:val="20"/>
        </w:rPr>
        <w:t>10:00 AM (doors open at 09:30 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Ort / </w:t>
      </w:r>
      <w:r>
        <w:rPr>
          <w:rFonts w:ascii="Times New Roman;Times;Serif" w:hAnsi="Times New Roman;Times;Serif"/>
          <w:b/>
          <w:i/>
          <w:caps w:val="false"/>
          <w:smallCaps w:val="false"/>
          <w:sz w:val="20"/>
        </w:rPr>
        <w:t>Place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Walder Wyss AG, Seefeldstrasse 123, 8008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Erhöhung bedingtes Kapital für Aktionärsoptionen 1 und Änderung von Art. 3a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Conditional Capital for Shareholder Options 1 and Amendment of Article 3a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Erhöhung Kapitalband und Änderung von Art. 3d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Capital Band and Amendment of Article 3d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Erhöhung Anzahl Mitglieder des Verwaltungsrates und Änderung von Art. 15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of Number of Members of the Board of Directors and Amendment of Article 15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 der beantragten Statutenänderungen siehe im Anhang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Appendix for the text of the proposed amendments to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 Aktionärinnen und Aktionäre werden diejenigen Personen anerkannt, welche per 20. Juli 2026 im elektronischen Aktienbuch der Veraxa Biotech AG eingetragen sind. Die gegenseitige Vertretung von Aktionären ist statthaft. Ein zur Vertretung berufener Aktionär hat eine rechtsgültige Vollmacht seitens des vertretenen Aktionärs mitzubringen. Alternativ können Sie auf der Aktionärsplattform www.aequitec.ch einen unabhängigen Stimmrechtsvertreter mandatieren.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are defined as those individuals who are registered in the electronic share register of Veraxa Biotech AG as of 20 July 2026. Shareholders may appoint proxies to represent them. A shareholder appointed as a proxy must present a legally valid power of attorney from the shareholder they are representing. Alternatively, you can appoint an independent proxy on the shareholder platform www.aequitec.ch.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am 24. Juli 2026 in Zürich begrüssen zu dürfen.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look forward to welcoming you in Zurich on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Freundliche Grüsse</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Kind regards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R. Baumann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Präsident des Verwaltungsrates</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Anhang zur Einladung zur ausserordentlichen Generalversammlung der Aktionäre</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Appendix to Invitation to the Extraordinary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3a – Bedingtes Aktienkapital für Aktionärsoptionen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Aktienkapital der Gesellschaft wird im Maximalbetrag von CHF 459’789 + 25/453 erhöht durch Ausgabe von höchstens 52’071’110 vollständig zu liberierenden Namenaktien mit einem Nennwert von je CHF 100/11’325 durch Ausübung von Rechten oder Anwartschaften auf Erwerb von Aktien (Erwerbsrechte), welche: (a) in Verbindung mit Anleihens- oder ähnlichen Instrumenten, einschliesslich Wandel- oder Optionsanleihen, Darlehen oder anderer Finanzierungsinstrumente, der Gesellschaft oder von Konzerngesellschaften (zusammen nachfolgend “aktiengebundene Finanzierungsinstrumente” genannt) eingeräumt oder auferlegt werden; oder (b) an beliebige Personen (seien es Aktionäre oder Dritte) eingeräumt werden (nachfolgend “Warrants” genannt).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Bezugsrecht der Aktionäre ist ausgeschlossen.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bei der Ausgabe von aktiengebundenen Finanzierungsinstrumenten und bei Warrants das Vorwegzeichnungsrecht der Aktionäre zu beschränken oder aufzuheben im Zusammenhang mit (a) der Finanzierung (einschliesslich Refinanzierung) des Erwerbs von Unternehmen, Unternehmensteilen, Beteiligungen oder von neuen Investitionsvorhaben der Gesellschaft oder (b) der Emission auf nationalen oder internationalen Kapitalmärkten oder der Ausgabe an einen oder mehrere strategische Investoren oder Finanzinvestoren.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das Vorwegzeichnungsrecht ausgeschlossen ist, sind (i) die aktiengebundenen Finanzierungsinstrumente zu Marktbedingungen zu platzieren, (ii) die Ausübungsfrist der Wandelrechte auf höchstens zwanzig Jahre und jene der Optionsrechte auf höchstens zehn Jahre ab dem Zeitpunkt der Emission (oder einer Neufestsetzung der Bedingungen) anzusetzen und (iii) der Wandel- oder Ausübungspreis oder die Berechnungsmethode eines solchen Preises für die neuen Aktien entsprechend Marktbedingungen und -praxis im Zeitpunkt der Emission der aktiengebundenen Finanzierungsinstrumente, der Neufestsetzung der Bedingungen oder der Ausgabe von neuen Aktien festzulegen.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Erwerbsrechte sind mittels schriftlicher Mitteilung an die Gesellschaft oder in einer anderen vom Verwaltungsrat festgelegten Form auszuüben.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3a – Conditional Capital for Shareholders’ Options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may be increased by up to CHF 459,789 + 25/453 by the issue of up to 52,071,110 fully-paid-up registered shares with a par value of CHF 100/11’325 each by exercising rights or entitlements to acquire shares (acquisition rights), which are: (a) granted or imposed in connection with bonds or similar instruments, including convertible bonds or bonds with warrants, loans or other financing instruments, of the Company or of consolidated subsidiaries (hereinafter collectively the “Equity-Linked Financing Instruments”), or (b) granted to any persons (whether shareholders or third parties) (hereinafter referred to as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shareholders’ subscription rights are excluded.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when issuing Equity-Linked Financing Instruments and Warrants to restrict or cancel shareholders’ advance subscription rights in connection with (a) the financing (including refinancing) of the acquisition of companies, parts of companies, participations or new investment projects of the Company, or (b) the issue on national or international capital markets or to one or more strategic or financial investors.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the right of advance subscription is excluded, the following conditions shall apply: (i) the Equity-Linked Financing Instruments are to be placed at market conditions; (ii) the exercise period of the conversion rights is to be set at a maximum of 20 years and that of the option rights at a maximum of 10 years from the date of the issue (or of a re-setting of the terms and conditions); and (iii) the conversion or exercise price or the calculation methodology for such price for the new shares is to be set in line with market conditions and practice prevailing at the time of the issue of the Equity-Linked Financing Instruments, of a re-setting of the terms and conditions, or of the new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Rights shall be exercised by way of written notice to the company or in another form as determined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3d – Kapitalband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jederzeit bis zum 31. Dezember 2030 das derzeitige Aktienkapital der Gesellschaft durch die Ausgabe von maximal 70’703’906 Namenaktien mit einem Nennwert von je CHF 100/11’325 um nominal maximal CHF 624’317 + 25/453 zu erhöhen, wobei die obere Grenze des Kapitalbands nominal CHF 1’872’951 + 73/453 und die untere Grenze nominal CHF 1’248’634 + 50/453 beträgt. Mehrfache Erhöhungen (auch in Teilbeträgen) im Rahmen des Kapitalbands, der Befristung und der nachfolgenden Bestimmungen sind zulässig.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legt den Ausgabebetrag, die Art der Einlagen, den Zeitpunkt der Ausgabe, die Bedingungen der Bezugsrechtsausübung und den Beginn der Dividendenberechtigung fest. Dabei kann der Verwaltungsrat neue Aktien mittels Festübernahme durch eine Bank oder einen anderen Dritten und anschliessenden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Angebots an die bisherigen Aktionäre ausgeben. Der Verwaltungsrat ist ermächtigt, den Handel mit Bezugsrechten zu beschränken oder auszuschliessen. Nicht ausgeübte Bezugsrechte kann der Verwaltungsrat verfallen lassen oder diese bzw. die Aktien, für welche Bezugsrechte eingeräumt, aber nicht ausgeübt werden, zu Marktkonditionen platzieren oder anderweitig im Interesse der Gesellschaft verwenden.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die Bezugsrechte der Aktionäre zu entziehen oder zu beschränken und Bezugsrechte einzelnen Aktionären oder Dritten zuzuweisen: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sofern die Aktien für die Übernahme von Unternehmen, Unternehmensteilen oder Beteiligungen oder für die Finanzierung oder Refinanzierung solcher Transaktionen, die Umwandlung von Darlehen oder Wertschriften in Aktien, die Finanzierung von neuen Investitionsvorhaben der Gesellschaft, den Erwerb oder die Finanzierung von Produkten, geistigem Eigentum oder Lizenzen oder die Finanzierung von strategischen Initiativen verwendet werden;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sofern die Aktien zum Zwecke der Erweiterung des Aktionärskreises im Zusammenhang mit der Kotierung der Aktien an einer Börse, um den Streubesitz zu erhöhen, oder zur Beteiligung von strategischen Partnern verwendet werden;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(iii)</w:t>
            </w:r>
          </w:p>
        </w:tc>
        <w:tc>
          <w:tcPr>
            <w:tcW w:w="9818" w:type="dxa"/>
            <w:tcBorders/>
            <w:vAlign w:val="center"/>
          </w:tcPr>
          <w:p>
            <w:pPr>
              <w:pStyle w:val="TableContents"/>
              <w:bidi w:val="0"/>
              <w:spacing w:before="0" w:after="283"/>
              <w:jc w:val="both"/>
              <w:rPr/>
            </w:pPr>
            <w:r>
              <w:rPr/>
              <w:t>im Fall nationaler oder internationaler (auch privater) Platzierung von Aktien zu Marktkonditionen; oder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59" w:type="dxa"/>
            <w:tcBorders/>
            <w:vAlign w:val="center"/>
          </w:tcPr>
          <w:p>
            <w:pPr>
              <w:pStyle w:val="TableContents"/>
              <w:bidi w:val="0"/>
              <w:spacing w:before="0" w:after="283"/>
              <w:jc w:val="both"/>
              <w:rPr/>
            </w:pPr>
            <w:r>
              <w:rPr/>
              <w:t>sofern die Aktien zum Zwecke einer raschen und flexiblen Beschaffung von Eigenkapital, welche ohne Beschränkung oder Ausschluss des Bezugsrechts nur schwer oder zu schlechteren Bedingungen möglich wäre.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3d – Capital 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authorised to increase the current share capital of the Company at any time until 31 December 2030 by a maximum nominal amount of CHF 624,317 + 25/453 by issuing a maximum of 70,703,906 registered shares with a par value of CHF 100/11,325 each (common shares), whereby the upper limit of the capital band is nominally CHF 1’872’951 + 73/453 and the lower limit is nominally CHF 1,248,634 + 50/453. Multiple increases (also in instalments) within the framework of the capital band, the time limit and the following provisions are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determine the amount of share capital to be issued, the type of contribution, the date of issue, the conditions governing the exercise of subscription rights and the commencement of dividend entitlement. The Board of Directors may issue new shares which are underwritten by a bank or other third party and subsequently offered to existing shareholders. The Board of Directors is authorised to restrict or to prohibit trading in the subscription rights to the new shares. In the event of subscription rights not being exercised, the Board of Directors may, at its discretion, either allow such rights to expire worthless, or place them or the shares to which they entitle their holders either at market prices or in some other manner commensurate with the interests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to withdraw or limit the subscription rights of shareholders and to allocate subscription rights to individual shareholders or third parties: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of the new shares being used to acquire companies, parts thereof or participations, or for the financing or refinancing of such transactions, for the conversion of loans or securities into shares, for the financing of new investment projects undertaken, the acquisition or financing of products, intellectual property or licenses, or the financing of strategic initiatives undertaken by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of the new shares being used either to extend the shareholder base [in conjunction with the listing of the shares on any stock exchange] to increase the free float or for investment by strategic partners;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(iii)</w:t>
            </w:r>
          </w:p>
        </w:tc>
        <w:tc>
          <w:tcPr>
            <w:tcW w:w="9830" w:type="dxa"/>
            <w:tcBorders/>
            <w:vAlign w:val="center"/>
          </w:tcPr>
          <w:p>
            <w:pPr>
              <w:pStyle w:val="TableContents"/>
              <w:bidi w:val="0"/>
              <w:spacing w:before="0" w:after="283"/>
              <w:jc w:val="both"/>
              <w:rPr/>
            </w:pPr>
            <w:r>
              <w:rPr/>
              <w:t>of the new shares being placed nationally or internationally (including by way of private placement) at market conditions;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(iv)</w:t>
            </w:r>
          </w:p>
        </w:tc>
        <w:tc>
          <w:tcPr>
            <w:tcW w:w="9867" w:type="dxa"/>
            <w:tcBorders/>
            <w:vAlign w:val="center"/>
          </w:tcPr>
          <w:p>
            <w:pPr>
              <w:pStyle w:val="TableContents"/>
              <w:bidi w:val="0"/>
              <w:spacing w:before="0" w:after="283"/>
              <w:jc w:val="both"/>
              <w:rPr/>
            </w:pPr>
            <w:r>
              <w:rPr/>
              <w:t>the new shares being issued for the for the purpose of raising equity capital in a swift and flexible manner, where such raising of capital would be difficult or would only be possible at less favorable conditions if the subscription rights to the new shares were not restricted or withdrawn.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 15 Abs.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besteht aus bis zu sieben Mitgliedern.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 15 para.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consist of up to seven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English text is provided solely as a translation of the German original. In case of doubt, the German version shall prevail.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jc w:val="left"/>
        <w:rPr>
          <w:caps w:val="false"/>
          <w:smallCaps w:val="false"/>
        </w:rPr>
      </w:pPr>
      <w:bookmarkStart w:id="8" w:name="veraxabiotechag_ex99-4.htm"/>
      <w:bookmarkStart w:id="9" w:name="ksveraxabiotechag_ex994"/>
      <w:bookmarkEnd w:id="8"/>
      <w:bookmarkEnd w:id="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Initiates Cell Line Development with ATUM to Advance its Lead BiTAC</w:t>
      </w:r>
      <w:r>
        <w:rPr>
          <w:rFonts w:ascii="Times New Roman;Times;Serif" w:hAnsi="Times New Roman;Times;Serif"/>
          <w:b/>
          <w:i w:val="false"/>
          <w:caps w:val="false"/>
          <w:smallCaps w:val="false"/>
          <w:color w:val="59A1A6"/>
          <w:position w:val="8"/>
          <w:sz w:val="19"/>
          <w:sz w:val="24"/>
        </w:rPr>
        <w:t>®</w:t>
      </w:r>
      <w:r>
        <w:rPr>
          <w:rFonts w:ascii="Times New Roman;Times;Serif" w:hAnsi="Times New Roman;Times;Serif"/>
          <w:b/>
          <w:i w:val="false"/>
          <w:caps w:val="false"/>
          <w:smallCaps w:val="false"/>
          <w:color w:val="59A1A6"/>
          <w:sz w:val="24"/>
        </w:rPr>
        <w:t>-TCE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color w:val="424242"/>
          <w:sz w:val="20"/>
        </w:rPr>
      </w:pPr>
      <w:r>
        <w:rPr>
          <w:rFonts w:ascii="Times New Roman;Times;Serif" w:hAnsi="Times New Roman;Times;Serif"/>
          <w:b w:val="false"/>
          <w:i/>
          <w:caps w:val="false"/>
          <w:smallCaps w:val="false"/>
          <w:color w:val="424242"/>
          <w:sz w:val="20"/>
        </w:rPr>
        <w:t>ATUM, a leading US-based contract research organization, selected to support stable clonal cell line generation to advance VERAXA’s lead BiTAC-TCE program toward IND/CTA-enabling activities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ZURICH, SWITZERLAND – July 02, 2026 – </w:t>
      </w:r>
      <w:r>
        <w:rPr>
          <w:rFonts w:ascii="Times New Roman;Times;Serif" w:hAnsi="Times New Roman;Times;Serif"/>
          <w:b w:val="false"/>
          <w:i w:val="false"/>
          <w:caps w:val="false"/>
          <w:smallCaps w:val="false"/>
          <w:sz w:val="20"/>
          <w:u w:val="single"/>
        </w:rPr>
        <w:t>VERAXA Biotech</w:t>
      </w:r>
      <w:r>
        <w:rPr>
          <w:rFonts w:ascii="Times New Roman;Times;Serif" w:hAnsi="Times New Roman;Times;Serif"/>
          <w:b w:val="false"/>
          <w:i w:val="false"/>
          <w:caps w:val="false"/>
          <w:smallCaps w:val="false"/>
          <w:sz w:val="20"/>
        </w:rPr>
        <w:t xml:space="preserve"> AG (NASDAQ: VRXA; “VERAXA”), an emerging leader in designing novel cancer therapies, today announced the initiation of cell line development for its lead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T-cell engager (BiTAC-TCE) program. VERAXA has engaged </w:t>
      </w:r>
      <w:r>
        <w:rPr>
          <w:rFonts w:ascii="Times New Roman;Times;Serif" w:hAnsi="Times New Roman;Times;Serif"/>
          <w:b w:val="false"/>
          <w:i w:val="false"/>
          <w:caps w:val="false"/>
          <w:smallCaps w:val="false"/>
          <w:sz w:val="20"/>
          <w:u w:val="single"/>
        </w:rPr>
        <w:t>ATUM</w:t>
      </w:r>
      <w:r>
        <w:rPr>
          <w:rFonts w:ascii="Times New Roman;Times;Serif" w:hAnsi="Times New Roman;Times;Serif"/>
          <w:b w:val="false"/>
          <w:i w:val="false"/>
          <w:caps w:val="false"/>
          <w:smallCaps w:val="false"/>
          <w:sz w:val="20"/>
        </w:rPr>
        <w:t>,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 The collaboration marks a key step in progressing VERAXA’s most advanced T-cell engager candidate toward IND/CTA-enabling activities and supports future clinical development.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Today’s news underscores our commitment to accelerate the development path of our growing BiTAC-TCE portfolio. Initiating cell line development with ATUM is an important next step for our lead BiTAC-TCE program following the encouraging preclinical data we presented at AACR,” said Christoph Erkel, Ph.D., Vice President Research &amp; Development of VERAXA. “Working with a recognized cell line development partner like ATUM allows us to pair our differentiated molecular design with expertise and workflows built for exactly this kind of advanced multi-chain formats.”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 line development is an important milestone in translating a therapeutic candidate into a manufacturable product. The collaboration with ATUM is intended to support the generation of stable and high-producing clonal cell lines that will be used throughout CMC development, including early process, analytical, and formulation development, as well as the supply of material for nonclinical studies. ATUM’s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is designed to support efficient stable cell line generation and is particularly relevant for multi-chain antibody formats where balanced expression of multiple components is important, such as VERAXA’s BiTAC-TCEs. ATUM’s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has supported the generation of stable cell lines used in over 50 IND submissions, providing VERAXA with an established cell line development approach for advanced biologic formats.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new generation of T-cell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T-cell-engaging bispecific molecules redirect cytotoxic T-cells to eliminate cancer cells, typically by binding the CD3 receptor on T-cells while simultaneously engaging a target protein on the tumor. While effective in select indications, conventional TCEs remain limited by toxicity; because their tumor target is often also present on healthy tissue, on-target but off-tumor T-cell activation can drive serious side effects and narrow the therapeutic window. A large proportion of conventional bispecific TCEs fail in development for this reason.</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VERAXA’s BiTAC-TCE approach is designed to address this challenge at its source. Rather than delivering a single, fully active molecule, the BiTAC strategy splits the T-cell engager into two complementary precursors. In their isolated form, each precursor retains its tumor-binding capability while the CD3-binding function remains inactivated. Only when both precursors bind their respective targets on the same cell is the CD3-binding domain reconstituted and activated. This “AND”-gated mechanism restricts T-cell activity to cells displaying both tumor markers, sparing healthy cells that carry only 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dual-target, conditional-activation design distinguishes BiTAC-TCEs from both traditional TCEs and from masked-TCE approaches that rely on a single antibody whose effector function is shielded until cleaved in the tumor microenvironment. By requiring the simultaneous engagement of two distinct antigens to assemble the active engager, BiTAC-TCEs are engineered for greater tumor selectivity, with the goal of enabling higher dosing and a meaningfully wider therapeutic window.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data from VERAXA’s most advanced BiTAC-TCE program were presented at the American Association for Cancer Research (AACR) Annual Meeting 2026, in April. In those studies, VERAXA’s BiTAC-TCE candidate performed as intended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attacking cancer cells displaying both target molecules while sparing cells expressing only one of the two targets. The data demonstrated a superior safety profile with matching efficacy compared with a more traditional TCE, pointing to the possibility of a meaningfully improved therapeutic index. The related posters are available on the VERAXA website at www.veraxa.com.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https://investors.veraxa.com</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ATUM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ATUM is a fully integrated biotechnology contract research organization that provides services for gene design, protein engineering, and cell line development. By combining machine learning, synthetic biology, and proprietary expression technologies, ATUM helps partners worldwide transform digital sequences into clinical reality. ATUM is headquartered in Newark, Calif. and found online at www.atum.bio.</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 The press release may also contain certain non-GAAP financial measures, adjusted to exclude certain costs, expenses, gains and losses and other specified items. Reconciliations of these non-GAAP financial measures to the most comparable GAAP measures for a particular quarterly period are available on the Company’s website at www.veraxa.com.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 Corporate</w:t>
      </w:r>
    </w:p>
    <w:p>
      <w:pPr>
        <w:pStyle w:val="TextBody"/>
        <w:bidi w:val="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Christoph Antz, Ph.D.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Co-Founder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investors@veraxa.com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and Investors – U.S.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Weiner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VERAXA@icrhealthcare.com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and Investors – EU</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Brkulj</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caps w:val="false"/>
          <w:smallCaps w:val="false"/>
        </w:rPr>
      </w:pPr>
      <w:bookmarkStart w:id="10" w:name="veraxabiotechag_ex99-5.htm"/>
      <w:bookmarkStart w:id="11" w:name="ksveraxabiotechag_ex995"/>
      <w:bookmarkEnd w:id="10"/>
      <w:bookmarkEnd w:id="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57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 xml:space="preserve">VERAXA Biotech Provides Business Update and Further Details on </w:t>
        <w:br/>
        <w:t>Partnering Strategy and Development Timelines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color w:val="424242"/>
          <w:sz w:val="20"/>
        </w:rPr>
      </w:pPr>
      <w:r>
        <w:rPr>
          <w:rFonts w:ascii="Times New Roman;Times;Serif" w:hAnsi="Times New Roman;Times;Serif"/>
          <w:b w:val="false"/>
          <w:i/>
          <w:caps w:val="false"/>
          <w:smallCaps w:val="false"/>
          <w:color w:val="424242"/>
          <w:sz w:val="20"/>
        </w:rPr>
        <w:t>Novel conditionally active T cell engagers sourced from proprietary BiTAC</w:t>
      </w:r>
      <w:r>
        <w:rPr>
          <w:rFonts w:ascii="Times New Roman;Times;Serif" w:hAnsi="Times New Roman;Times;Serif"/>
          <w:b w:val="false"/>
          <w:i/>
          <w:caps w:val="false"/>
          <w:smallCaps w:val="false"/>
          <w:color w:val="424242"/>
          <w:position w:val="7"/>
          <w:sz w:val="16"/>
          <w:sz w:val="20"/>
        </w:rPr>
        <w:t>®</w:t>
      </w:r>
      <w:r>
        <w:rPr>
          <w:rFonts w:ascii="Times New Roman;Times;Serif" w:hAnsi="Times New Roman;Times;Serif"/>
          <w:b w:val="false"/>
          <w:i/>
          <w:caps w:val="false"/>
          <w:smallCaps w:val="false"/>
          <w:color w:val="424242"/>
          <w:sz w:val="20"/>
        </w:rPr>
        <w:t xml:space="preserve"> platform are at the basis of advanced partnering initiatives and development activities</w:t>
      </w:r>
    </w:p>
    <w:p>
      <w:pPr>
        <w:pStyle w:val="TextBody"/>
        <w:bidi w:val="0"/>
        <w:spacing w:before="0" w:after="0"/>
        <w:ind w:left="0" w:right="0" w:hanging="0"/>
        <w:jc w:val="left"/>
        <w:rPr>
          <w:caps/>
          <w:spacing w:val="20"/>
        </w:rPr>
      </w:pPr>
      <w:r>
        <w:rPr>
          <w:caps/>
          <w:spacing w:val="20"/>
        </w:rPr>
        <w:t> </w:t>
      </w:r>
    </w:p>
    <w:p>
      <w:pPr>
        <w:pStyle w:val="TextBody"/>
        <w:bidi w:val="0"/>
        <w:spacing w:before="0" w:after="0"/>
        <w:ind w:left="0" w:right="0" w:hanging="0"/>
        <w:jc w:val="left"/>
        <w:rPr>
          <w:caps/>
          <w:spacing w:val="20"/>
        </w:rPr>
      </w:pPr>
      <w:r>
        <w:rPr>
          <w:caps/>
          <w:spacing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6,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provided a company and pipeline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first six months of 2026, we have made substantial progress in honing our pipeline and partnering strategy. We continue to record tangible interest in our novel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and its applications in building a range of BiTAC-T cell engagers and BiTAC-antibody-drug conjugates,” stated Dr. Christoph Antz, Ph.D., Chief Executive Officer of VERAXA Biotech. “BiTAC molecules are expected to dominate our pipeline development efforts in the years to come and mature to be the main value drivers of the company. Therefore, we intend to channel the lion’s share of our investments into our BiTAC portfolio and aim to monetize selected non-BiTAC pipeline assets early to finance its growth. It is our firm goal to have a first BiTAC-TCE candidate VXA-102 IND/CTA-ready by the beginning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pipeline currently consists of four BiTAC-based therapeutic programs aimed at treating various solid tumor indications. Mirroring the more advanced state of development of the BiTAC-TCE platform, all of these programs are T cell engagers. Complementing our BiTAC portfolio are currently two bispecific ADCs (bs ADCs) with more traditional molecular design. This includes the bsADC program pursued within a strategic partnership with OmniAb, Inc. The formally most advanced program in VERAXA’s portfolio, the Fc-enhanced FLT3-targeting monoclonal antibody VXA-901 for the treatment of acute myeloid leukemia (AML), and the company’s HER2-targeting ADC program are available for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in novel technologies and drug development programs in the T cell engager and ADC space continues to be at a record high in the pharmaceutical industry. To benefit from this positive partnering environment, it is crucial to have a clearly differentiated technology, which we have with our BiTAC platform,” added Heinz Schwer, Ph.D., MBA, Chief Business Officer of VERAXA. “The recent BIO International Partnering Conference turned out to be a well-timed opportunity for us to meet with potential new partners and also to intensify our ongoing discussions. The feedback received at this and other recent industry and scientific events gives as a great level of confidence that, with continued validation of our platform and products, we will be well positioned to secure initial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www.veraxa.com or follow us on LinkedIn, X (formerly known as Twitter) and Bluesky.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including with respect to the company’s anticipated pipeline development focus, its ability to monetize its pipeline assets, the timing for development of its pipeline candidates and the ability of the company to partner its pipeline assets.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ind w:left="0" w:right="0" w:hanging="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br/>
        <w:t>Christoph Antz, Ph.D.</w:t>
        <w:br/>
        <w:t>Chief Executive Officer, Co-Founder</w:t>
        <w:br/>
        <w:t>investors@veraxa.com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br/>
      </w:r>
      <w:r>
        <w:rPr>
          <w:rFonts w:ascii="Times New Roman;Times;Serif" w:hAnsi="Times New Roman;Times;Serif"/>
          <w:b w:val="false"/>
          <w:i w:val="false"/>
          <w:caps w:val="false"/>
          <w:smallCaps w:val="false"/>
          <w:sz w:val="20"/>
        </w:rPr>
        <w:t>Brandon Weiner</w:t>
        <w:br/>
        <w:t>ICR Healthcare</w:t>
        <w:br/>
        <w:t>VERAXA@icrhealthcare.com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br/>
      </w:r>
      <w:r>
        <w:rPr>
          <w:rFonts w:ascii="Times New Roman;Times;Serif" w:hAnsi="Times New Roman;Times;Serif"/>
          <w:b w:val="false"/>
          <w:i w:val="false"/>
          <w:caps w:val="false"/>
          <w:smallCaps w:val="false"/>
          <w:sz w:val="20"/>
        </w:rPr>
        <w:t>Mario Brkulj</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media@veraxa.com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3</w:t>
      </w:r>
    </w:p>
    <w:p>
      <w:pPr>
        <w:pStyle w:val="TextBody"/>
        <w:bidi w:val="0"/>
        <w:jc w:val="left"/>
        <w:rPr>
          <w:caps w:val="false"/>
          <w:smallCaps w:val="false"/>
        </w:rPr>
      </w:pPr>
      <w:bookmarkStart w:id="12" w:name="veraxabiotechag_ex99-6.htm"/>
      <w:bookmarkStart w:id="13" w:name="ksveraxabiotechag_ex996"/>
      <w:bookmarkEnd w:id="12"/>
      <w:bookmarkEnd w:id="1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99.6</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AG Appoints Carl von Halem as Interim</w:t>
        <w:br/>
        <w:t>Chief Financial Officer and Successor to Torsten Bürgermeister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10,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announced the appointment of Carl von Halem as Interim Chief Financial Officer. He succeeds Torsten Bürgermeister. The company is currently in the final stages of discussions with a highly qualified successor who is expected to support VERAXA’s next phase of expansion and operational growth. The company will provide an update to the market in due course.</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Carl von Halem is ideally positioned to support the company in this transitioning process. As Chief Financial Officer of Xlife Sciences, he has been instrumental in taking VERAXA public and has supported the growth of the organization over several years. He has been actively involved in all stages and processes of the listing, working closely with internal and external stakeholders throughout the transaction. As a result, he possesses an in-depth understanding of the company’s operational management, strategic development, and organizational structure. Additionally, his past and present other executive and supervisory board roles in the Life Sciences and MedTech industry provide him with profound sector expertise,” commented Oliver R. Baumann, Chairman of the VERAXA Board. “We also like to thank Torsten Bürgermeister for his many contributions over the last four and a half years.”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von Halem is a finance executive, entrepreneur and board member with extensive experience in corporate finance, venture building, life sciences and technology-driven businesses. He currently serves as Chief Financial Officer of Xlife Science AG, a Swiss life-science focused incubator, Managing Director of Xlife Science GmbH, and Board Member of the Xlife Science’s portfolio companies Axenoll Life Sciences AG and FUSE-AI AG. Previously, he co-founded and served as Chief Operating Officer at Munich-based FinTech company CommneX, a digital tendering and matchmaking platform connected financial projects of municipalities, public corporations, and municipal-related companies with financial partners such as banks, insurance companies, and institutional investors. In this role, he was instrumental in building and scaling CommneX’ business and operations, in establishing strategic partnerships and developing innovative financing solutions for the public sector. Prior to that, Mr. von Halem held various roles in the renewable energy sector such as Senior Associate of Berlin-based SaEnergy Systems. Carl von Halem holds a Master’s degree in Economics from the Technical University of Berlin</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 BiTAC</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is a registered trademark of VERAXA Biotech GmbH.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including with respect to the company’s ability to identify, secure, and maintain key personnel.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14" w:name="veraxabiotechag_ex99-7.htm"/>
      <w:bookmarkStart w:id="15" w:name="ksveraxabiotechag_ex997"/>
      <w:bookmarkEnd w:id="14"/>
      <w:bookmarkEnd w:id="1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99.7</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Announces Regulatory Progress with its BiTAC</w:t>
      </w:r>
      <w:r>
        <w:rPr>
          <w:rFonts w:ascii="Times New Roman;Times;Serif" w:hAnsi="Times New Roman;Times;Serif"/>
          <w:b/>
          <w:i w:val="false"/>
          <w:caps w:val="false"/>
          <w:smallCaps w:val="false"/>
          <w:color w:val="59A1A6"/>
          <w:position w:val="8"/>
          <w:sz w:val="19"/>
          <w:sz w:val="24"/>
        </w:rPr>
        <w:t>®</w:t>
      </w:r>
      <w:r>
        <w:rPr>
          <w:rFonts w:ascii="Times New Roman;Times;Serif" w:hAnsi="Times New Roman;Times;Serif"/>
          <w:b/>
          <w:i w:val="false"/>
          <w:caps w:val="false"/>
          <w:smallCaps w:val="false"/>
          <w:color w:val="59A1A6"/>
          <w:sz w:val="24"/>
        </w:rPr>
        <w:t>-TCE</w:t>
        <w:br/>
        <w:t>Development Plan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Scientific Advice from the German Regulatory Authority supports the biological rationale and proposed development approach for VERAXA’s BiTAC-TCE technology and product candidate, providing an initial de-risking of the development path for this novel therapeutic modality</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20,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VERAXA Biotech</w:t>
      </w:r>
      <w:r>
        <w:rPr>
          <w:rFonts w:ascii="Times New Roman;Times;Serif" w:hAnsi="Times New Roman;Times;Serif"/>
          <w:b w:val="false"/>
          <w:i w:val="false"/>
          <w:caps w:val="false"/>
          <w:smallCaps w:val="false"/>
          <w:sz w:val="20"/>
        </w:rPr>
        <w:t xml:space="preserve"> AG (NASDAQ: VRXA; “VERAXA), an emerging leader in designing novel cancer therapies, today announced that it has received Scientific Advice from the German regulatory authority, the Paul-Ehrlich-Institute (PEI), regarding the underlying biology and proposed non-clinical development plan for its most-advanced development program based on its proprietary BiTAC-TCE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PEI’s Scientific Advice procedure, drug developers can consult with regulatory experts on how to best evaluate their new drug candidates with a key focus on safety and tolerability. The advice was given in a meeting in which VERAXA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the Company advances its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Scientific Advice on the first therapeutic candidate based on a novel platform is an important early validation, and the feedback we received is encouraging,” said Christoph Erkel, Ph.D., Vice President, Research &amp; Development of VERAXA. “It indicates that the regulatory authorities understand the biological rationale behind our BiTAC-TCE technology approach and gives us greater clarity on the development path we have proposed. For our new modality, such early alignment is crucial to make sure that we progress as efficiently as possible towards the clinics.”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data from VERAXA’s most advanced BiTAC-TCE program were presented at the American Association for Cancer Research (AACR) Annual Meeting 2026, in April. In those studies, VERAXA’s BiTAC-TCE candidate performed as intended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attacking cancer cells displaying both target molecules while sparing cells expressing only one of the two targets. The data demonstrated a superior safety profile with matching efficacy compared with a more traditional TCE, pointing to the possibility of a meaningfully improved therapeutic index. The related posters are available on the VERAXA website at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https://investors.veraxa.com/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with respect to the anticipated timing for clinic development of its pipeline candidates or the likelihood of regulatory approval thereof.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16" w:name="veraxabiotechag_ex99-8.htm"/>
      <w:bookmarkStart w:id="17" w:name="ksveraxabiotechag_ex998"/>
      <w:bookmarkEnd w:id="16"/>
      <w:bookmarkEnd w:id="1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99.8</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Appoints Christoph Erkel as Chief Scientific Officer to</w:t>
        <w:br/>
        <w:t>Advance BiTAC</w:t>
      </w:r>
      <w:r>
        <w:rPr>
          <w:rFonts w:ascii="Times New Roman;Times;Serif" w:hAnsi="Times New Roman;Times;Serif"/>
          <w:b/>
          <w:i w:val="false"/>
          <w:caps w:val="false"/>
          <w:smallCaps w:val="false"/>
          <w:color w:val="59A1A6"/>
          <w:position w:val="8"/>
          <w:sz w:val="19"/>
          <w:sz w:val="24"/>
        </w:rPr>
        <w:t xml:space="preserve">® </w:t>
      </w:r>
      <w:r>
        <w:rPr>
          <w:rFonts w:ascii="Times New Roman;Times;Serif" w:hAnsi="Times New Roman;Times;Serif"/>
          <w:b/>
          <w:i w:val="false"/>
          <w:caps w:val="false"/>
          <w:smallCaps w:val="false"/>
          <w:color w:val="59A1A6"/>
          <w:sz w:val="24"/>
        </w:rPr>
        <w:t>Technology Platforms and Portfolio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23,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announced the appointment of Christoph Erkel, Ph.D., as Chief Scientific Officer (CSO), effective immediately. Christoph Erkel, previously Vice President of Research &amp; Development at VERAXA, will apply his extensive management expertise in R&amp;D to direct and accelerate development of the company’s proprietary BiTAC® (bi-targeted tumor-associated cytotoxicity) platform technologies, with the goal of developing safer and more effective cancer treatments for patients with solid tumors. He succeeds Rick Austin, Ph.D., who will be leaving the company after a successful transition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 Erkel is an accomplished scientific leader with 20 years of expertise in antibody therapeutics, with a career bridging early-stage discovery and clinical readiness. His expertise includes antibody engineering and preclinical development, advancing candidate molecules up to IND submission. Prior to joining VERAXA, he served as Research Program Leader at MorphoSys AG (acquired by Novartis), where he led cross-functional teams and therapeutic programs in immuno-oncology, including the development of conditionally active T cell engagers for solid and hematologic tumors. Earlier, he held senior roles in Discovery Biology and Antibody Engineering, as well as scientific and leadership positions at Sloning BioTechnology GmbH. Christoph Erkel earned his Ph.D. in Biology from Philipps University in Marburg and conducted postdoctoral research at the Max Planck Institute for Terrestrial Microbiology.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take on this role at such a pivotal moment for VERAXA,” said Christoph Erkel, Ph.D., Chief Scientific Officer of VERAXA. “Our mission to translate the groundbreaking potential of the BiTAC platforms into transformative therapies for patients is both inspiring and pressing. I look forward to working with our exceptional team to expand our pipeline, accelerate our programs toward clinical trials, and deliver on the promise of a new generation of oncology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would like to thank Rick Austin for his many contributions during this transformative phase of our company’s journey,” said Oliver R. Baumann, Chairman of the VERAXA Board. “His leadership has been instrumental in shaping our pipeline and target decisions. At the same time, we are thrilled to welcome Christoph Erkel as our new CSO. Christoph’s proven ability to manage complex, multi-disciplinary projects and his deep scientific expertise will be instrumental as we advance our innovative BiTAC technology platform and expand our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3.jpeg"/><Relationship Id="rId17" Type="http://schemas.openxmlformats.org/officeDocument/2006/relationships/image" Target="media/image1.jpeg"/><Relationship Id="rId18" Type="http://schemas.openxmlformats.org/officeDocument/2006/relationships/image" Target="media/image4.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2.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2.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2.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23811</Words>
  <Characters>143749</Characters>
  <CharactersWithSpaces>168243</CharactersWithSpaces>
  <Paragraphs>3007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